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E008F" w14:textId="370D0360" w:rsidR="00DE296F" w:rsidRPr="00F41D6D" w:rsidRDefault="00F12C5C" w:rsidP="00AD109B">
      <w:pPr>
        <w:pStyle w:val="Heading1"/>
        <w:rPr>
          <w:b w:val="0"/>
          <w:bCs w:val="0"/>
        </w:rPr>
      </w:pPr>
      <w:r w:rsidRPr="00F41D6D">
        <w:rPr>
          <w:b w:val="0"/>
          <w:bCs w:val="0"/>
        </w:rPr>
        <w:t>Economic Development Officer – Real Estate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6002"/>
      </w:tblGrid>
      <w:tr w:rsidR="00AD109B" w:rsidRPr="00F41D6D" w14:paraId="687AA04F" w14:textId="77777777" w:rsidTr="00AD109B">
        <w:tc>
          <w:tcPr>
            <w:tcW w:w="1908" w:type="dxa"/>
          </w:tcPr>
          <w:p w14:paraId="614A8477" w14:textId="5067F251" w:rsidR="00AD109B" w:rsidRPr="00F41D6D" w:rsidRDefault="00AD109B" w:rsidP="00AD109B">
            <w:pPr>
              <w:pStyle w:val="Strong1"/>
              <w:rPr>
                <w:b w:val="0"/>
                <w:bCs w:val="0"/>
              </w:rPr>
            </w:pPr>
            <w:r w:rsidRPr="00F41D6D">
              <w:rPr>
                <w:b w:val="0"/>
                <w:bCs w:val="0"/>
              </w:rPr>
              <w:t>Reports to:</w:t>
            </w:r>
          </w:p>
        </w:tc>
        <w:tc>
          <w:tcPr>
            <w:tcW w:w="6002" w:type="dxa"/>
          </w:tcPr>
          <w:p w14:paraId="02C8B2A9" w14:textId="66858CDA" w:rsidR="00AD109B" w:rsidRPr="00F41D6D" w:rsidRDefault="00AD109B" w:rsidP="00AD109B">
            <w:r w:rsidRPr="00F41D6D">
              <w:t>VP, Real Estate Development</w:t>
            </w:r>
          </w:p>
        </w:tc>
      </w:tr>
      <w:tr w:rsidR="00AD109B" w:rsidRPr="00F41D6D" w14:paraId="2F55D673" w14:textId="77777777" w:rsidTr="00AD109B">
        <w:tc>
          <w:tcPr>
            <w:tcW w:w="1908" w:type="dxa"/>
          </w:tcPr>
          <w:p w14:paraId="5F5DB120" w14:textId="7F6465A2" w:rsidR="00AD109B" w:rsidRPr="00F41D6D" w:rsidRDefault="00AD109B" w:rsidP="00AD109B">
            <w:pPr>
              <w:pStyle w:val="Strong1"/>
              <w:rPr>
                <w:b w:val="0"/>
                <w:bCs w:val="0"/>
              </w:rPr>
            </w:pPr>
            <w:r w:rsidRPr="00F41D6D">
              <w:rPr>
                <w:b w:val="0"/>
                <w:bCs w:val="0"/>
              </w:rPr>
              <w:t>Status:</w:t>
            </w:r>
          </w:p>
        </w:tc>
        <w:tc>
          <w:tcPr>
            <w:tcW w:w="6002" w:type="dxa"/>
          </w:tcPr>
          <w:p w14:paraId="28611455" w14:textId="66E41B69" w:rsidR="00AD109B" w:rsidRPr="00F41D6D" w:rsidRDefault="00AD109B" w:rsidP="00AD109B">
            <w:r w:rsidRPr="00F41D6D">
              <w:t>Full-Time, Exempt</w:t>
            </w:r>
          </w:p>
        </w:tc>
      </w:tr>
      <w:tr w:rsidR="00AD109B" w:rsidRPr="00F41D6D" w14:paraId="5956E22B" w14:textId="77777777" w:rsidTr="00AD109B">
        <w:tc>
          <w:tcPr>
            <w:tcW w:w="1908" w:type="dxa"/>
          </w:tcPr>
          <w:p w14:paraId="429F7DA4" w14:textId="492B1897" w:rsidR="00AD109B" w:rsidRPr="00F41D6D" w:rsidRDefault="00AD109B" w:rsidP="00AD109B">
            <w:pPr>
              <w:pStyle w:val="Strong1"/>
              <w:rPr>
                <w:b w:val="0"/>
                <w:bCs w:val="0"/>
              </w:rPr>
            </w:pPr>
            <w:r w:rsidRPr="00F41D6D">
              <w:rPr>
                <w:b w:val="0"/>
                <w:bCs w:val="0"/>
              </w:rPr>
              <w:t>Location:</w:t>
            </w:r>
          </w:p>
        </w:tc>
        <w:tc>
          <w:tcPr>
            <w:tcW w:w="6002" w:type="dxa"/>
          </w:tcPr>
          <w:p w14:paraId="7BA3E360" w14:textId="003DFCB1" w:rsidR="00AD109B" w:rsidRPr="00F41D6D" w:rsidRDefault="00AD109B" w:rsidP="00AD109B">
            <w:r w:rsidRPr="00F41D6D">
              <w:t xml:space="preserve">Baltimore, MD (in-office)  </w:t>
            </w:r>
          </w:p>
        </w:tc>
      </w:tr>
      <w:tr w:rsidR="00AD109B" w:rsidRPr="00F41D6D" w14:paraId="70335DC7" w14:textId="77777777" w:rsidTr="00AD109B">
        <w:tc>
          <w:tcPr>
            <w:tcW w:w="1908" w:type="dxa"/>
          </w:tcPr>
          <w:p w14:paraId="752F750B" w14:textId="165D8BF0" w:rsidR="00AD109B" w:rsidRPr="00F41D6D" w:rsidRDefault="00AD109B" w:rsidP="00AD109B">
            <w:pPr>
              <w:pStyle w:val="Strong1"/>
              <w:rPr>
                <w:b w:val="0"/>
                <w:bCs w:val="0"/>
              </w:rPr>
            </w:pPr>
            <w:r w:rsidRPr="00F41D6D">
              <w:rPr>
                <w:b w:val="0"/>
                <w:bCs w:val="0"/>
              </w:rPr>
              <w:t xml:space="preserve">Salary Range: </w:t>
            </w:r>
          </w:p>
        </w:tc>
        <w:tc>
          <w:tcPr>
            <w:tcW w:w="6002" w:type="dxa"/>
          </w:tcPr>
          <w:p w14:paraId="38AA16A4" w14:textId="7FC8BEE1" w:rsidR="00AD109B" w:rsidRPr="00F41D6D" w:rsidRDefault="00AD109B" w:rsidP="00AD109B">
            <w:r w:rsidRPr="00F41D6D">
              <w:t>$75,000 – $90,000</w:t>
            </w:r>
          </w:p>
        </w:tc>
      </w:tr>
    </w:tbl>
    <w:p w14:paraId="1F768A98" w14:textId="77777777" w:rsidR="00DE296F" w:rsidRPr="00F41D6D" w:rsidRDefault="00F12C5C" w:rsidP="00AD109B">
      <w:pPr>
        <w:pStyle w:val="Heading2"/>
        <w:rPr>
          <w:b w:val="0"/>
          <w:bCs w:val="0"/>
        </w:rPr>
      </w:pPr>
      <w:r w:rsidRPr="00F41D6D">
        <w:rPr>
          <w:b w:val="0"/>
          <w:bCs w:val="0"/>
        </w:rPr>
        <w:t>About the Baltimore Development Corporation</w:t>
      </w:r>
    </w:p>
    <w:p w14:paraId="21AFB413" w14:textId="77777777" w:rsidR="00DE296F" w:rsidRPr="00F41D6D" w:rsidRDefault="00F12C5C" w:rsidP="00AD109B">
      <w:pPr>
        <w:pStyle w:val="Heading3"/>
        <w:rPr>
          <w:b w:val="0"/>
          <w:bCs w:val="0"/>
        </w:rPr>
      </w:pPr>
      <w:r w:rsidRPr="00F41D6D">
        <w:rPr>
          <w:b w:val="0"/>
          <w:bCs w:val="0"/>
        </w:rPr>
        <w:t>Our Mission</w:t>
      </w:r>
    </w:p>
    <w:p w14:paraId="6C9C01FC" w14:textId="77777777" w:rsidR="00DE296F" w:rsidRPr="00F41D6D" w:rsidRDefault="00F12C5C" w:rsidP="00AD109B">
      <w:r w:rsidRPr="00F41D6D">
        <w:t>The BDC is the lead economic development organization for the City of Baltimore. Our mission is to grow the city’s economy in an inclusive manner by retaining, expanding, and attracting businesses, and promoting investments, thereby increasing career opportunities and wealth creation for residents.</w:t>
      </w:r>
    </w:p>
    <w:p w14:paraId="38050C85" w14:textId="77777777" w:rsidR="00DE296F" w:rsidRPr="00F41D6D" w:rsidRDefault="00F12C5C" w:rsidP="00AD109B">
      <w:pPr>
        <w:pStyle w:val="Heading3"/>
        <w:rPr>
          <w:b w:val="0"/>
          <w:bCs w:val="0"/>
        </w:rPr>
      </w:pPr>
      <w:r w:rsidRPr="00F41D6D">
        <w:rPr>
          <w:b w:val="0"/>
          <w:bCs w:val="0"/>
        </w:rPr>
        <w:t>Our Commitment</w:t>
      </w:r>
    </w:p>
    <w:p w14:paraId="34BE1A6A" w14:textId="77777777" w:rsidR="00DE296F" w:rsidRPr="00F41D6D" w:rsidRDefault="00F12C5C" w:rsidP="00AD109B">
      <w:r w:rsidRPr="00F41D6D">
        <w:t>The BDC is committed to a more equitable economy by supporting people of color and women-owned businesses. We promote investments in Baltimore businesses and entrepreneurs that have been negatively impacted by institutional, structural, and systemic racism. We develop and implement strategies, and facilitate collaboration among our partners, to intentionally create an inclusive and equitable economy for all Baltimore businesses.</w:t>
      </w:r>
    </w:p>
    <w:p w14:paraId="7C083503" w14:textId="77777777" w:rsidR="00DE296F" w:rsidRPr="00F41D6D" w:rsidRDefault="00F12C5C" w:rsidP="00AD109B">
      <w:pPr>
        <w:pStyle w:val="Heading3"/>
        <w:rPr>
          <w:b w:val="0"/>
          <w:bCs w:val="0"/>
        </w:rPr>
      </w:pPr>
      <w:r w:rsidRPr="00F41D6D">
        <w:rPr>
          <w:b w:val="0"/>
          <w:bCs w:val="0"/>
        </w:rPr>
        <w:t>Our Values</w:t>
      </w:r>
    </w:p>
    <w:p w14:paraId="61E6B27E" w14:textId="77777777"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Excellence. </w:t>
      </w:r>
      <w:r w:rsidRPr="00F41D6D">
        <w:t>We hold ourselves to the highest professional, ethical, and legal standard in everything we do.</w:t>
      </w:r>
    </w:p>
    <w:p w14:paraId="6A5A7618" w14:textId="77777777"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Accountability. </w:t>
      </w:r>
      <w:r w:rsidRPr="00F41D6D">
        <w:t>We own our commitments and our outcomes. We learn from our failures and evolve to better serve Baltimore.</w:t>
      </w:r>
    </w:p>
    <w:p w14:paraId="2B716D42" w14:textId="77777777"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Collaboration. </w:t>
      </w:r>
      <w:r w:rsidRPr="00F41D6D">
        <w:t>We succeed as one team across every unit — assuming the best and exercising the highest professional respect for our colleagues.</w:t>
      </w:r>
    </w:p>
    <w:p w14:paraId="39793E17" w14:textId="77777777"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Urgency. </w:t>
      </w:r>
      <w:r w:rsidRPr="00F41D6D">
        <w:t>Baltimore can’t wait — and neither will we. Years of disinvestment doesn’t fix itself, so we don’t do “eventually.”</w:t>
      </w:r>
    </w:p>
    <w:p w14:paraId="7B4FCC46" w14:textId="77777777"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Community. </w:t>
      </w:r>
      <w:r w:rsidRPr="00F41D6D">
        <w:t>Every decision starts with the businesses we serve. We don’t make decisions about businesses; we make decisions with them.</w:t>
      </w:r>
    </w:p>
    <w:p w14:paraId="5B42D2D8" w14:textId="3C5D2D52" w:rsidR="00DE296F" w:rsidRPr="00F41D6D" w:rsidRDefault="00F12C5C" w:rsidP="00AD109B">
      <w:pPr>
        <w:pStyle w:val="ListParagraph"/>
        <w:numPr>
          <w:ilvl w:val="0"/>
          <w:numId w:val="2"/>
        </w:numPr>
      </w:pPr>
      <w:r w:rsidRPr="00F41D6D">
        <w:rPr>
          <w:rFonts w:ascii="Neue Haas Grotesk Display Pro" w:eastAsia="Neue Haas Grotesk Display Pro" w:hAnsi="Neue Haas Grotesk Display Pro" w:cs="Neue Haas Grotesk Display Pro"/>
        </w:rPr>
        <w:t xml:space="preserve">Fun. </w:t>
      </w:r>
      <w:r w:rsidRPr="00F41D6D">
        <w:t>We celebrate our successes and each other. We maintain balance and pursue joy in our work.</w:t>
      </w:r>
    </w:p>
    <w:p w14:paraId="2FF5ED5C" w14:textId="77777777" w:rsidR="002F32D0" w:rsidRPr="00F41D6D" w:rsidRDefault="002F32D0">
      <w:pPr>
        <w:spacing w:before="0"/>
        <w:rPr>
          <w:rFonts w:ascii="NeueHaasGroteskDisp Pro" w:hAnsi="NeueHaasGroteskDisp Pro"/>
          <w:color w:val="00269A"/>
          <w:sz w:val="36"/>
          <w:szCs w:val="36"/>
        </w:rPr>
      </w:pPr>
      <w:r w:rsidRPr="00F41D6D">
        <w:br w:type="page"/>
      </w:r>
    </w:p>
    <w:p w14:paraId="2D9F866E" w14:textId="23272652" w:rsidR="00DE296F" w:rsidRPr="00F41D6D" w:rsidRDefault="00F12C5C" w:rsidP="00AD109B">
      <w:pPr>
        <w:pStyle w:val="Heading2"/>
        <w:rPr>
          <w:b w:val="0"/>
          <w:bCs w:val="0"/>
        </w:rPr>
      </w:pPr>
      <w:r w:rsidRPr="00F41D6D">
        <w:rPr>
          <w:b w:val="0"/>
          <w:bCs w:val="0"/>
        </w:rPr>
        <w:lastRenderedPageBreak/>
        <w:t>Strategic Context</w:t>
      </w:r>
    </w:p>
    <w:p w14:paraId="5BF4FB42" w14:textId="77777777" w:rsidR="00DE296F" w:rsidRPr="00F41D6D" w:rsidRDefault="00F12C5C" w:rsidP="00AD109B">
      <w:r w:rsidRPr="00F41D6D">
        <w:t xml:space="preserve">2026 marks the final year of Baltimore Together, the City’s comprehensive economic development strategy (cEDS). Going forward, BDC’s work is organized around the </w:t>
      </w:r>
      <w:proofErr w:type="gramStart"/>
      <w:r w:rsidRPr="00F41D6D">
        <w:t>Mayor’s</w:t>
      </w:r>
      <w:proofErr w:type="gramEnd"/>
      <w:r w:rsidRPr="00F41D6D">
        <w:t xml:space="preserve"> five strategic pillars, which serve as the agency’s primary organizational strategy and guidance. This role advances Pillar 02 (Downtown &amp; Neighborhoods) and Pillar 03 (Housing &amp; Vacancy) by supporting commercial real estate development and neighborhood revitalization projects that turn priority-area investment into community and financial benefit.</w:t>
      </w:r>
    </w:p>
    <w:p w14:paraId="6057EFE3" w14:textId="77777777" w:rsidR="00DE296F" w:rsidRPr="00F41D6D" w:rsidRDefault="00DE296F" w:rsidP="00AD109B"/>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2300"/>
        <w:gridCol w:w="4605"/>
      </w:tblGrid>
      <w:tr w:rsidR="00DE296F" w:rsidRPr="00F41D6D" w14:paraId="52C73A74" w14:textId="77777777" w:rsidTr="00AD109B">
        <w:trPr>
          <w:tblHeader/>
        </w:trPr>
        <w:tc>
          <w:tcPr>
            <w:tcW w:w="1100" w:type="dxa"/>
            <w:tcBorders>
              <w:top w:val="single" w:sz="4" w:space="0" w:color="00269A"/>
              <w:left w:val="single" w:sz="4" w:space="0" w:color="00269A"/>
              <w:bottom w:val="single" w:sz="4" w:space="0" w:color="00269A"/>
              <w:right w:val="single" w:sz="4" w:space="0" w:color="00269A"/>
            </w:tcBorders>
            <w:shd w:val="clear" w:color="auto" w:fill="00269A"/>
            <w:tcMar>
              <w:top w:w="100" w:type="dxa"/>
              <w:left w:w="160" w:type="dxa"/>
              <w:bottom w:w="100" w:type="dxa"/>
              <w:right w:w="120" w:type="dxa"/>
            </w:tcMar>
          </w:tcPr>
          <w:p w14:paraId="289ABA4C" w14:textId="77777777" w:rsidR="00DE296F" w:rsidRPr="00F41D6D" w:rsidRDefault="00F12C5C" w:rsidP="00AD109B">
            <w:pPr>
              <w:pStyle w:val="Strong1"/>
              <w:rPr>
                <w:b w:val="0"/>
                <w:bCs w:val="0"/>
                <w:color w:val="FCF7F6" w:themeColor="background1"/>
              </w:rPr>
            </w:pPr>
            <w:r w:rsidRPr="00F41D6D">
              <w:rPr>
                <w:b w:val="0"/>
                <w:bCs w:val="0"/>
                <w:color w:val="FCF7F6" w:themeColor="background1"/>
              </w:rPr>
              <w:t>#</w:t>
            </w:r>
          </w:p>
        </w:tc>
        <w:tc>
          <w:tcPr>
            <w:tcW w:w="2300" w:type="dxa"/>
            <w:tcBorders>
              <w:top w:val="single" w:sz="4" w:space="0" w:color="00269A"/>
              <w:left w:val="single" w:sz="4" w:space="0" w:color="00269A"/>
              <w:bottom w:val="single" w:sz="4" w:space="0" w:color="00269A"/>
              <w:right w:val="single" w:sz="4" w:space="0" w:color="00269A"/>
            </w:tcBorders>
            <w:shd w:val="clear" w:color="auto" w:fill="00269A"/>
            <w:tcMar>
              <w:top w:w="100" w:type="dxa"/>
              <w:left w:w="160" w:type="dxa"/>
              <w:bottom w:w="100" w:type="dxa"/>
              <w:right w:w="120" w:type="dxa"/>
            </w:tcMar>
          </w:tcPr>
          <w:p w14:paraId="52E9BF7D" w14:textId="77777777" w:rsidR="00DE296F" w:rsidRPr="00F41D6D" w:rsidRDefault="00F12C5C" w:rsidP="00AD109B">
            <w:pPr>
              <w:pStyle w:val="Strong1"/>
              <w:rPr>
                <w:b w:val="0"/>
                <w:bCs w:val="0"/>
                <w:color w:val="FCF7F6" w:themeColor="background1"/>
              </w:rPr>
            </w:pPr>
            <w:r w:rsidRPr="00F41D6D">
              <w:rPr>
                <w:b w:val="0"/>
                <w:bCs w:val="0"/>
                <w:color w:val="FCF7F6" w:themeColor="background1"/>
              </w:rPr>
              <w:t>Pillar</w:t>
            </w:r>
          </w:p>
        </w:tc>
        <w:tc>
          <w:tcPr>
            <w:tcW w:w="4605" w:type="dxa"/>
            <w:tcBorders>
              <w:top w:val="single" w:sz="4" w:space="0" w:color="00269A"/>
              <w:left w:val="single" w:sz="4" w:space="0" w:color="00269A"/>
              <w:bottom w:val="single" w:sz="4" w:space="0" w:color="00269A"/>
              <w:right w:val="single" w:sz="4" w:space="0" w:color="00269A"/>
            </w:tcBorders>
            <w:shd w:val="clear" w:color="auto" w:fill="00269A"/>
            <w:tcMar>
              <w:top w:w="100" w:type="dxa"/>
              <w:left w:w="160" w:type="dxa"/>
              <w:bottom w:w="100" w:type="dxa"/>
              <w:right w:w="120" w:type="dxa"/>
            </w:tcMar>
          </w:tcPr>
          <w:p w14:paraId="6C63FBFE" w14:textId="77777777" w:rsidR="00DE296F" w:rsidRPr="00F41D6D" w:rsidRDefault="00F12C5C" w:rsidP="00AD109B">
            <w:pPr>
              <w:pStyle w:val="Strong1"/>
              <w:rPr>
                <w:b w:val="0"/>
                <w:bCs w:val="0"/>
                <w:color w:val="FCF7F6" w:themeColor="background1"/>
              </w:rPr>
            </w:pPr>
            <w:r w:rsidRPr="00F41D6D">
              <w:rPr>
                <w:b w:val="0"/>
                <w:bCs w:val="0"/>
                <w:color w:val="FCF7F6" w:themeColor="background1"/>
              </w:rPr>
              <w:t>Description</w:t>
            </w:r>
          </w:p>
        </w:tc>
      </w:tr>
      <w:tr w:rsidR="00DE296F" w:rsidRPr="00F41D6D" w14:paraId="3FB0D994" w14:textId="77777777" w:rsidTr="00AD109B">
        <w:tc>
          <w:tcPr>
            <w:tcW w:w="11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401A65A8" w14:textId="77777777" w:rsidR="00DE296F" w:rsidRPr="00F41D6D" w:rsidRDefault="00F12C5C" w:rsidP="00AD109B">
            <w:pPr>
              <w:pStyle w:val="Strong1"/>
              <w:rPr>
                <w:b w:val="0"/>
                <w:bCs w:val="0"/>
              </w:rPr>
            </w:pPr>
            <w:r w:rsidRPr="00F41D6D">
              <w:rPr>
                <w:b w:val="0"/>
                <w:bCs w:val="0"/>
              </w:rPr>
              <w:t>01</w:t>
            </w:r>
          </w:p>
        </w:tc>
        <w:tc>
          <w:tcPr>
            <w:tcW w:w="23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4FBABEFD" w14:textId="77777777" w:rsidR="00DE296F" w:rsidRPr="00F41D6D" w:rsidRDefault="00F12C5C" w:rsidP="00AD109B">
            <w:r w:rsidRPr="00F41D6D">
              <w:t>Inclusive Prosperity</w:t>
            </w:r>
          </w:p>
        </w:tc>
        <w:tc>
          <w:tcPr>
            <w:tcW w:w="4605"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4A3DCB66" w14:textId="77777777" w:rsidR="00DE296F" w:rsidRPr="00F41D6D" w:rsidRDefault="00F12C5C" w:rsidP="00AD109B">
            <w:r w:rsidRPr="00F41D6D">
              <w:t>Baltimore Together cEDS — close racial wealth gaps; BIPOC businesses as drivers of growth.</w:t>
            </w:r>
          </w:p>
        </w:tc>
      </w:tr>
      <w:tr w:rsidR="00DE296F" w:rsidRPr="00F41D6D" w14:paraId="12027BB3" w14:textId="77777777" w:rsidTr="00AD109B">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7E97CE37" w14:textId="77777777" w:rsidR="00DE296F" w:rsidRPr="00F41D6D" w:rsidRDefault="00F12C5C" w:rsidP="00AD109B">
            <w:pPr>
              <w:pStyle w:val="Strong1"/>
              <w:rPr>
                <w:b w:val="0"/>
                <w:bCs w:val="0"/>
              </w:rPr>
            </w:pPr>
            <w:r w:rsidRPr="00F41D6D">
              <w:rPr>
                <w:b w:val="0"/>
                <w:bCs w:val="0"/>
              </w:rPr>
              <w:t>02</w:t>
            </w:r>
          </w:p>
        </w:tc>
        <w:tc>
          <w:tcPr>
            <w:tcW w:w="23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20CF10D0" w14:textId="77777777" w:rsidR="00DE296F" w:rsidRPr="00F41D6D" w:rsidRDefault="00F12C5C" w:rsidP="00AD109B">
            <w:r w:rsidRPr="00F41D6D">
              <w:t>Downtown &amp; Neighborhoods</w:t>
            </w:r>
          </w:p>
        </w:tc>
        <w:tc>
          <w:tcPr>
            <w:tcW w:w="4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42C4C691" w14:textId="77777777" w:rsidR="00DE296F" w:rsidRPr="00F41D6D" w:rsidRDefault="00F12C5C" w:rsidP="00AD109B">
            <w:r w:rsidRPr="00F41D6D">
              <w:t>Downtown RISE — a strong downtown and strong neighborhoods, with benefits flowing both ways.</w:t>
            </w:r>
          </w:p>
        </w:tc>
      </w:tr>
      <w:tr w:rsidR="00DE296F" w:rsidRPr="00F41D6D" w14:paraId="6E3769E2" w14:textId="77777777" w:rsidTr="00AD109B">
        <w:tc>
          <w:tcPr>
            <w:tcW w:w="11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04503F66" w14:textId="77777777" w:rsidR="00DE296F" w:rsidRPr="00F41D6D" w:rsidRDefault="00F12C5C" w:rsidP="00AD109B">
            <w:pPr>
              <w:pStyle w:val="Strong1"/>
              <w:rPr>
                <w:b w:val="0"/>
                <w:bCs w:val="0"/>
              </w:rPr>
            </w:pPr>
            <w:r w:rsidRPr="00F41D6D">
              <w:rPr>
                <w:b w:val="0"/>
                <w:bCs w:val="0"/>
              </w:rPr>
              <w:t>03</w:t>
            </w:r>
          </w:p>
        </w:tc>
        <w:tc>
          <w:tcPr>
            <w:tcW w:w="23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159CD678" w14:textId="77777777" w:rsidR="00DE296F" w:rsidRPr="00F41D6D" w:rsidRDefault="00F12C5C" w:rsidP="00AD109B">
            <w:r w:rsidRPr="00F41D6D">
              <w:t>Housing &amp; Vacancy</w:t>
            </w:r>
          </w:p>
        </w:tc>
        <w:tc>
          <w:tcPr>
            <w:tcW w:w="4605"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3CDC65BA" w14:textId="77777777" w:rsidR="00DE296F" w:rsidRPr="00F41D6D" w:rsidRDefault="00F12C5C" w:rsidP="00AD109B">
            <w:r w:rsidRPr="00F41D6D">
              <w:t>Reframe Baltimore — vacant properties becoming homes, businesses, and community assets.</w:t>
            </w:r>
          </w:p>
        </w:tc>
      </w:tr>
      <w:tr w:rsidR="00DE296F" w:rsidRPr="00F41D6D" w14:paraId="00E2F3BB" w14:textId="77777777" w:rsidTr="00AD109B">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5EE5F0B8" w14:textId="77777777" w:rsidR="00DE296F" w:rsidRPr="00F41D6D" w:rsidRDefault="00F12C5C" w:rsidP="00AD109B">
            <w:pPr>
              <w:pStyle w:val="Strong1"/>
              <w:rPr>
                <w:b w:val="0"/>
                <w:bCs w:val="0"/>
              </w:rPr>
            </w:pPr>
            <w:r w:rsidRPr="00F41D6D">
              <w:rPr>
                <w:b w:val="0"/>
                <w:bCs w:val="0"/>
              </w:rPr>
              <w:t>04</w:t>
            </w:r>
          </w:p>
        </w:tc>
        <w:tc>
          <w:tcPr>
            <w:tcW w:w="23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3650B928" w14:textId="77777777" w:rsidR="00DE296F" w:rsidRPr="00F41D6D" w:rsidRDefault="00F12C5C" w:rsidP="00AD109B">
            <w:r w:rsidRPr="00F41D6D">
              <w:t>Business Climate</w:t>
            </w:r>
          </w:p>
        </w:tc>
        <w:tc>
          <w:tcPr>
            <w:tcW w:w="4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20" w:type="dxa"/>
            </w:tcMar>
          </w:tcPr>
          <w:p w14:paraId="51DC061A" w14:textId="77777777" w:rsidR="00DE296F" w:rsidRPr="00F41D6D" w:rsidRDefault="00F12C5C" w:rsidP="00AD109B">
            <w:r w:rsidRPr="00F41D6D">
              <w:t>Bmore FAST — faster permits, fewer barriers, the region’s most investable city.</w:t>
            </w:r>
          </w:p>
        </w:tc>
      </w:tr>
      <w:tr w:rsidR="00DE296F" w:rsidRPr="00F41D6D" w14:paraId="0871FC2E" w14:textId="77777777" w:rsidTr="00AD109B">
        <w:tc>
          <w:tcPr>
            <w:tcW w:w="11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1DAD1012" w14:textId="77777777" w:rsidR="00DE296F" w:rsidRPr="00F41D6D" w:rsidRDefault="00F12C5C" w:rsidP="00AD109B">
            <w:pPr>
              <w:pStyle w:val="Strong1"/>
              <w:rPr>
                <w:b w:val="0"/>
                <w:bCs w:val="0"/>
              </w:rPr>
            </w:pPr>
            <w:r w:rsidRPr="00F41D6D">
              <w:rPr>
                <w:b w:val="0"/>
                <w:bCs w:val="0"/>
              </w:rPr>
              <w:t>05</w:t>
            </w:r>
          </w:p>
        </w:tc>
        <w:tc>
          <w:tcPr>
            <w:tcW w:w="2300"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134E52CB" w14:textId="77777777" w:rsidR="00DE296F" w:rsidRPr="00F41D6D" w:rsidRDefault="00F12C5C" w:rsidP="00AD109B">
            <w:r w:rsidRPr="00F41D6D">
              <w:t>Fiscal Strength</w:t>
            </w:r>
          </w:p>
        </w:tc>
        <w:tc>
          <w:tcPr>
            <w:tcW w:w="4605" w:type="dxa"/>
            <w:tcBorders>
              <w:top w:val="single" w:sz="4" w:space="0" w:color="CCCCCC"/>
              <w:left w:val="single" w:sz="4" w:space="0" w:color="CCCCCC"/>
              <w:bottom w:val="single" w:sz="4" w:space="0" w:color="CCCCCC"/>
              <w:right w:val="single" w:sz="4" w:space="0" w:color="CCCCCC"/>
            </w:tcBorders>
            <w:shd w:val="clear" w:color="auto" w:fill="F4F6FB"/>
            <w:tcMar>
              <w:top w:w="80" w:type="dxa"/>
              <w:left w:w="160" w:type="dxa"/>
              <w:bottom w:w="80" w:type="dxa"/>
              <w:right w:w="120" w:type="dxa"/>
            </w:tcMar>
          </w:tcPr>
          <w:p w14:paraId="3ECAE2F7" w14:textId="77777777" w:rsidR="00DE296F" w:rsidRPr="00F41D6D" w:rsidRDefault="00F12C5C" w:rsidP="00AD109B">
            <w:r w:rsidRPr="00F41D6D">
              <w:t>10-Year Financial Plan — lower property tax, a diversified base, and sustainable growth.</w:t>
            </w:r>
          </w:p>
        </w:tc>
      </w:tr>
    </w:tbl>
    <w:p w14:paraId="17E435CC" w14:textId="77777777" w:rsidR="00DE296F" w:rsidRPr="00F41D6D" w:rsidRDefault="00DE296F" w:rsidP="00AD109B"/>
    <w:p w14:paraId="5C75D58F" w14:textId="77777777" w:rsidR="00DC1158" w:rsidRPr="00F41D6D" w:rsidRDefault="00DC1158">
      <w:pPr>
        <w:spacing w:before="0"/>
        <w:rPr>
          <w:rFonts w:ascii="NeueHaasGroteskDisp Pro" w:hAnsi="NeueHaasGroteskDisp Pro"/>
          <w:color w:val="00269A"/>
          <w:sz w:val="36"/>
          <w:szCs w:val="36"/>
        </w:rPr>
      </w:pPr>
      <w:r w:rsidRPr="00F41D6D">
        <w:br w:type="page"/>
      </w:r>
    </w:p>
    <w:p w14:paraId="28F098B8" w14:textId="2D52CC56" w:rsidR="00DE296F" w:rsidRPr="00F41D6D" w:rsidRDefault="00F12C5C" w:rsidP="00AD109B">
      <w:pPr>
        <w:pStyle w:val="Heading2"/>
        <w:rPr>
          <w:b w:val="0"/>
          <w:bCs w:val="0"/>
        </w:rPr>
      </w:pPr>
      <w:r w:rsidRPr="00F41D6D">
        <w:rPr>
          <w:b w:val="0"/>
          <w:bCs w:val="0"/>
        </w:rPr>
        <w:lastRenderedPageBreak/>
        <w:t>Position Overview</w:t>
      </w:r>
    </w:p>
    <w:p w14:paraId="24851031" w14:textId="33D66798" w:rsidR="00DE296F" w:rsidRPr="00F41D6D" w:rsidRDefault="00F12C5C" w:rsidP="00AD109B">
      <w:r w:rsidRPr="00F41D6D">
        <w:t>The Economic Development Officer – Real Estate supports commercial real estate development and neighborhood revitalization initiatives across the City of Baltimore, focusing on project coordination, developer engagement, community investment support, and real estate analysis. Working under the guidance of senior real estate staff, this role plays a key part in advancing projects that align with BDC’s mission of inclusive economic growth, equitable development, and community stability. The ideal candidate pairs solid real estate and analytical fundamentals with strong organizational skills and a genuine commitment to community-centered investment.</w:t>
      </w:r>
    </w:p>
    <w:p w14:paraId="1FCADD9A" w14:textId="36BB5941" w:rsidR="00DE296F" w:rsidRPr="00F41D6D" w:rsidRDefault="00F12C5C" w:rsidP="00AD109B">
      <w:pPr>
        <w:pStyle w:val="Heading2"/>
        <w:rPr>
          <w:b w:val="0"/>
          <w:bCs w:val="0"/>
        </w:rPr>
      </w:pPr>
      <w:r w:rsidRPr="00F41D6D">
        <w:rPr>
          <w:b w:val="0"/>
          <w:bCs w:val="0"/>
        </w:rPr>
        <w:t>Reporting Relationship &amp; Team Structure</w:t>
      </w:r>
    </w:p>
    <w:p w14:paraId="677DF53A" w14:textId="7F9BDE85" w:rsidR="00DE296F" w:rsidRPr="00F41D6D" w:rsidRDefault="00F12C5C" w:rsidP="00AD109B">
      <w:r w:rsidRPr="00F41D6D">
        <w:t>Reports to: VP, Real Estate Development, working under the guidance of senior real estate staff on project coordination and analysis.</w:t>
      </w:r>
    </w:p>
    <w:p w14:paraId="6635B245" w14:textId="77777777" w:rsidR="00DE296F" w:rsidRPr="00F41D6D" w:rsidRDefault="00F12C5C" w:rsidP="00AD109B">
      <w:r w:rsidRPr="00F41D6D">
        <w:t xml:space="preserve">Key coordinating roles (no direct reports </w:t>
      </w:r>
      <w:proofErr w:type="gramStart"/>
      <w:r w:rsidRPr="00F41D6D">
        <w:t>at this time</w:t>
      </w:r>
      <w:proofErr w:type="gramEnd"/>
      <w:r w:rsidRPr="00F41D6D">
        <w:t>):</w:t>
      </w:r>
    </w:p>
    <w:p w14:paraId="3504F91A" w14:textId="77777777" w:rsidR="00DE296F" w:rsidRPr="00F41D6D" w:rsidRDefault="00F12C5C" w:rsidP="00AD109B">
      <w:pPr>
        <w:pStyle w:val="ListParagraph"/>
        <w:numPr>
          <w:ilvl w:val="0"/>
          <w:numId w:val="2"/>
        </w:numPr>
      </w:pPr>
      <w:r w:rsidRPr="00F41D6D">
        <w:t>Director, Real Estate Transactions &amp; Asset Management — provides guidance and mentorship on complex transactions and asset strategy</w:t>
      </w:r>
    </w:p>
    <w:p w14:paraId="003266F9" w14:textId="47A25242" w:rsidR="00DE296F" w:rsidRPr="00F41D6D" w:rsidRDefault="00F12C5C" w:rsidP="00AD109B">
      <w:pPr>
        <w:pStyle w:val="ListParagraph"/>
        <w:numPr>
          <w:ilvl w:val="0"/>
          <w:numId w:val="2"/>
        </w:numPr>
      </w:pPr>
      <w:r w:rsidRPr="00F41D6D">
        <w:t>Business Development, Marketing, Finance, and Planning teams — cross-departmental partners on community and economic impact reporting</w:t>
      </w:r>
    </w:p>
    <w:p w14:paraId="5D9167CF" w14:textId="43510DEE" w:rsidR="00DE296F" w:rsidRPr="00F41D6D" w:rsidRDefault="00F12C5C" w:rsidP="00AD109B">
      <w:r w:rsidRPr="00F41D6D">
        <w:t>The Economic Development Officer also coordinates closely with community organizations, developers, and residents to advance equitable development and anti-displacement goals.</w:t>
      </w:r>
    </w:p>
    <w:p w14:paraId="2E485F78" w14:textId="77777777" w:rsidR="00DE296F" w:rsidRPr="00F41D6D" w:rsidRDefault="00F12C5C" w:rsidP="00AD109B">
      <w:pPr>
        <w:pStyle w:val="Heading2"/>
        <w:rPr>
          <w:b w:val="0"/>
          <w:bCs w:val="0"/>
        </w:rPr>
      </w:pPr>
      <w:r w:rsidRPr="00F41D6D">
        <w:rPr>
          <w:b w:val="0"/>
          <w:bCs w:val="0"/>
        </w:rPr>
        <w:t>Key Responsibilities</w:t>
      </w:r>
    </w:p>
    <w:p w14:paraId="7F97CEB3" w14:textId="77777777" w:rsidR="00DE296F" w:rsidRPr="00F41D6D" w:rsidRDefault="00F12C5C" w:rsidP="00AD109B">
      <w:pPr>
        <w:pStyle w:val="Heading3"/>
        <w:rPr>
          <w:b w:val="0"/>
          <w:bCs w:val="0"/>
        </w:rPr>
      </w:pPr>
      <w:r w:rsidRPr="00F41D6D">
        <w:rPr>
          <w:b w:val="0"/>
          <w:bCs w:val="0"/>
        </w:rPr>
        <w:t>Commercial Real Estate Development Support</w:t>
      </w:r>
    </w:p>
    <w:p w14:paraId="1C246922" w14:textId="77777777" w:rsidR="00DE296F" w:rsidRPr="00F41D6D" w:rsidRDefault="00F12C5C" w:rsidP="00AD109B">
      <w:pPr>
        <w:pStyle w:val="ListParagraph"/>
        <w:numPr>
          <w:ilvl w:val="0"/>
          <w:numId w:val="2"/>
        </w:numPr>
      </w:pPr>
      <w:r w:rsidRPr="00F41D6D">
        <w:t>Support commercial and mixed-use real estate development projects from early planning through implementation</w:t>
      </w:r>
    </w:p>
    <w:p w14:paraId="1C0AB483" w14:textId="77777777" w:rsidR="00DE296F" w:rsidRPr="00F41D6D" w:rsidRDefault="00F12C5C" w:rsidP="00AD109B">
      <w:pPr>
        <w:pStyle w:val="ListParagraph"/>
        <w:numPr>
          <w:ilvl w:val="0"/>
          <w:numId w:val="2"/>
        </w:numPr>
      </w:pPr>
      <w:r w:rsidRPr="00F41D6D">
        <w:t>Assist with developer coordination, project tracking, and milestone management</w:t>
      </w:r>
    </w:p>
    <w:p w14:paraId="6A79D0FD" w14:textId="77777777" w:rsidR="00DE296F" w:rsidRPr="00F41D6D" w:rsidRDefault="00F12C5C" w:rsidP="00AD109B">
      <w:pPr>
        <w:pStyle w:val="ListParagraph"/>
        <w:numPr>
          <w:ilvl w:val="0"/>
          <w:numId w:val="2"/>
        </w:numPr>
      </w:pPr>
      <w:r w:rsidRPr="00F41D6D">
        <w:t>Conduct preliminary feasibility analyses, market research, and financial reviews</w:t>
      </w:r>
    </w:p>
    <w:p w14:paraId="3606AD8C" w14:textId="77777777" w:rsidR="00DE296F" w:rsidRPr="00F41D6D" w:rsidRDefault="00F12C5C" w:rsidP="00AD109B">
      <w:pPr>
        <w:pStyle w:val="ListParagraph"/>
        <w:numPr>
          <w:ilvl w:val="0"/>
          <w:numId w:val="2"/>
        </w:numPr>
      </w:pPr>
      <w:r w:rsidRPr="00F41D6D">
        <w:t>Support zoning, permitting, and municipal approval processes</w:t>
      </w:r>
    </w:p>
    <w:p w14:paraId="6503B78A" w14:textId="77777777" w:rsidR="00DE296F" w:rsidRPr="00F41D6D" w:rsidRDefault="00F12C5C" w:rsidP="00AD109B">
      <w:pPr>
        <w:pStyle w:val="ListParagraph"/>
        <w:numPr>
          <w:ilvl w:val="0"/>
          <w:numId w:val="2"/>
        </w:numPr>
      </w:pPr>
      <w:r w:rsidRPr="00F41D6D">
        <w:t>Prepare briefing materials, reports, and presentations for internal and external stakeholders</w:t>
      </w:r>
    </w:p>
    <w:p w14:paraId="6BA039E6" w14:textId="77777777" w:rsidR="00DE296F" w:rsidRPr="00F41D6D" w:rsidRDefault="00F12C5C" w:rsidP="00AD109B">
      <w:pPr>
        <w:pStyle w:val="Heading3"/>
        <w:rPr>
          <w:b w:val="0"/>
          <w:bCs w:val="0"/>
        </w:rPr>
      </w:pPr>
      <w:r w:rsidRPr="00F41D6D">
        <w:rPr>
          <w:b w:val="0"/>
          <w:bCs w:val="0"/>
        </w:rPr>
        <w:t>Asset Management &amp; Property Coordination</w:t>
      </w:r>
    </w:p>
    <w:p w14:paraId="27449769" w14:textId="77777777" w:rsidR="00DE296F" w:rsidRPr="00F41D6D" w:rsidRDefault="00F12C5C" w:rsidP="00AD109B">
      <w:pPr>
        <w:pStyle w:val="ListParagraph"/>
        <w:numPr>
          <w:ilvl w:val="0"/>
          <w:numId w:val="2"/>
        </w:numPr>
      </w:pPr>
      <w:r w:rsidRPr="00F41D6D">
        <w:t>Assist in monitoring BDC-owned or managed commercial properties</w:t>
      </w:r>
    </w:p>
    <w:p w14:paraId="76D6394D" w14:textId="77777777" w:rsidR="00DE296F" w:rsidRPr="00F41D6D" w:rsidRDefault="00F12C5C" w:rsidP="00AD109B">
      <w:pPr>
        <w:pStyle w:val="ListParagraph"/>
        <w:numPr>
          <w:ilvl w:val="0"/>
          <w:numId w:val="2"/>
        </w:numPr>
      </w:pPr>
      <w:r w:rsidRPr="00F41D6D">
        <w:t>Track property performance, occupancy, and lease activity</w:t>
      </w:r>
    </w:p>
    <w:p w14:paraId="18EB5B40" w14:textId="77777777" w:rsidR="00DE296F" w:rsidRPr="00F41D6D" w:rsidRDefault="00F12C5C" w:rsidP="00AD109B">
      <w:pPr>
        <w:pStyle w:val="ListParagraph"/>
        <w:numPr>
          <w:ilvl w:val="0"/>
          <w:numId w:val="2"/>
        </w:numPr>
      </w:pPr>
      <w:r w:rsidRPr="00F41D6D">
        <w:t>Support tenant coordination and property improvement initiatives</w:t>
      </w:r>
    </w:p>
    <w:p w14:paraId="0343EE50" w14:textId="77777777" w:rsidR="00DE296F" w:rsidRPr="00F41D6D" w:rsidRDefault="00F12C5C" w:rsidP="00AD109B">
      <w:pPr>
        <w:pStyle w:val="ListParagraph"/>
        <w:numPr>
          <w:ilvl w:val="0"/>
          <w:numId w:val="2"/>
        </w:numPr>
      </w:pPr>
      <w:r w:rsidRPr="00F41D6D">
        <w:t>Maintain project files, databases, and performance metrics</w:t>
      </w:r>
    </w:p>
    <w:p w14:paraId="058A0AA3" w14:textId="77777777" w:rsidR="00DE296F" w:rsidRPr="00F41D6D" w:rsidRDefault="00F12C5C" w:rsidP="00AD109B">
      <w:pPr>
        <w:pStyle w:val="Heading3"/>
        <w:rPr>
          <w:b w:val="0"/>
          <w:bCs w:val="0"/>
        </w:rPr>
      </w:pPr>
      <w:r w:rsidRPr="00F41D6D">
        <w:rPr>
          <w:b w:val="0"/>
          <w:bCs w:val="0"/>
        </w:rPr>
        <w:t>Community Investment &amp; Neighborhood Engagement</w:t>
      </w:r>
    </w:p>
    <w:p w14:paraId="1B6A705E" w14:textId="77777777" w:rsidR="00DE296F" w:rsidRPr="00F41D6D" w:rsidRDefault="00F12C5C" w:rsidP="00AD109B">
      <w:pPr>
        <w:pStyle w:val="ListParagraph"/>
        <w:numPr>
          <w:ilvl w:val="0"/>
          <w:numId w:val="2"/>
        </w:numPr>
      </w:pPr>
      <w:r w:rsidRPr="00F41D6D">
        <w:t>Support neighborhood-based investment initiatives and priority area projects</w:t>
      </w:r>
    </w:p>
    <w:p w14:paraId="3B56C2AF" w14:textId="77777777" w:rsidR="00DE296F" w:rsidRPr="00F41D6D" w:rsidRDefault="00F12C5C" w:rsidP="00AD109B">
      <w:pPr>
        <w:pStyle w:val="ListParagraph"/>
        <w:numPr>
          <w:ilvl w:val="0"/>
          <w:numId w:val="2"/>
        </w:numPr>
      </w:pPr>
      <w:r w:rsidRPr="00F41D6D">
        <w:t>Coordinate with community organizations, developers, and residents to advance equitable development goals</w:t>
      </w:r>
    </w:p>
    <w:p w14:paraId="52A353F3" w14:textId="77777777" w:rsidR="00DE296F" w:rsidRPr="00F41D6D" w:rsidRDefault="00F12C5C" w:rsidP="00AD109B">
      <w:pPr>
        <w:pStyle w:val="ListParagraph"/>
        <w:numPr>
          <w:ilvl w:val="0"/>
          <w:numId w:val="2"/>
        </w:numPr>
      </w:pPr>
      <w:r w:rsidRPr="00F41D6D">
        <w:t>Assist with anti-displacement and inclusive development strategies</w:t>
      </w:r>
    </w:p>
    <w:p w14:paraId="4F83FC1C" w14:textId="77777777" w:rsidR="00DE296F" w:rsidRPr="00F41D6D" w:rsidRDefault="00F12C5C" w:rsidP="00AD109B">
      <w:pPr>
        <w:pStyle w:val="ListParagraph"/>
        <w:numPr>
          <w:ilvl w:val="0"/>
          <w:numId w:val="2"/>
        </w:numPr>
      </w:pPr>
      <w:r w:rsidRPr="00F41D6D">
        <w:t>Participate in community meetings, site visits, and stakeholder engagements</w:t>
      </w:r>
    </w:p>
    <w:p w14:paraId="738B53C7" w14:textId="77777777" w:rsidR="00DE296F" w:rsidRPr="00F41D6D" w:rsidRDefault="00F12C5C" w:rsidP="00AD109B">
      <w:pPr>
        <w:pStyle w:val="Heading3"/>
        <w:rPr>
          <w:b w:val="0"/>
          <w:bCs w:val="0"/>
        </w:rPr>
      </w:pPr>
      <w:r w:rsidRPr="00F41D6D">
        <w:rPr>
          <w:b w:val="0"/>
          <w:bCs w:val="0"/>
        </w:rPr>
        <w:t>Cross-Departmental Coordination</w:t>
      </w:r>
    </w:p>
    <w:p w14:paraId="583A27B2" w14:textId="77777777" w:rsidR="00DE296F" w:rsidRPr="00F41D6D" w:rsidRDefault="00F12C5C" w:rsidP="00AD109B">
      <w:pPr>
        <w:pStyle w:val="ListParagraph"/>
        <w:numPr>
          <w:ilvl w:val="0"/>
          <w:numId w:val="2"/>
        </w:numPr>
      </w:pPr>
      <w:r w:rsidRPr="00F41D6D">
        <w:lastRenderedPageBreak/>
        <w:t>Collaborate with BDC business development, marketing, finance, and planning teams</w:t>
      </w:r>
    </w:p>
    <w:p w14:paraId="493550F1" w14:textId="77777777" w:rsidR="00DE296F" w:rsidRPr="00F41D6D" w:rsidRDefault="00F12C5C" w:rsidP="00AD109B">
      <w:pPr>
        <w:pStyle w:val="ListParagraph"/>
        <w:numPr>
          <w:ilvl w:val="0"/>
          <w:numId w:val="2"/>
        </w:numPr>
      </w:pPr>
      <w:r w:rsidRPr="00F41D6D">
        <w:t>Support data collection and reporting on community and economic impact</w:t>
      </w:r>
    </w:p>
    <w:p w14:paraId="5D70ABA5" w14:textId="77777777" w:rsidR="00DE296F" w:rsidRPr="00F41D6D" w:rsidRDefault="00F12C5C" w:rsidP="00AD109B">
      <w:pPr>
        <w:pStyle w:val="ListParagraph"/>
        <w:numPr>
          <w:ilvl w:val="0"/>
          <w:numId w:val="2"/>
        </w:numPr>
      </w:pPr>
      <w:r w:rsidRPr="00F41D6D">
        <w:t>Represent BDC in meetings as assigned</w:t>
      </w:r>
    </w:p>
    <w:p w14:paraId="6E31F804" w14:textId="77777777" w:rsidR="00DE296F" w:rsidRPr="00F41D6D" w:rsidRDefault="00F12C5C" w:rsidP="00AD109B">
      <w:pPr>
        <w:pStyle w:val="Heading3"/>
        <w:rPr>
          <w:b w:val="0"/>
          <w:bCs w:val="0"/>
        </w:rPr>
      </w:pPr>
      <w:r w:rsidRPr="00F41D6D">
        <w:rPr>
          <w:b w:val="0"/>
          <w:bCs w:val="0"/>
        </w:rPr>
        <w:t>Leadership &amp; Collaboration</w:t>
      </w:r>
    </w:p>
    <w:p w14:paraId="11E10ED9" w14:textId="77777777" w:rsidR="00DE296F" w:rsidRPr="00F41D6D" w:rsidRDefault="00F12C5C" w:rsidP="00AD109B">
      <w:pPr>
        <w:pStyle w:val="ListParagraph"/>
        <w:numPr>
          <w:ilvl w:val="0"/>
          <w:numId w:val="2"/>
        </w:numPr>
      </w:pPr>
      <w:r w:rsidRPr="00F41D6D">
        <w:t>Support senior staff. Though this role has no direct reports, the Economic Development Officer works under the guidance of senior real estate staff, contributing analysis and coordination support on complex development projects.</w:t>
      </w:r>
    </w:p>
    <w:p w14:paraId="2AE4A7D2" w14:textId="77777777" w:rsidR="00DE296F" w:rsidRPr="00F41D6D" w:rsidRDefault="00F12C5C" w:rsidP="00AD109B">
      <w:pPr>
        <w:pStyle w:val="ListParagraph"/>
        <w:numPr>
          <w:ilvl w:val="0"/>
          <w:numId w:val="2"/>
        </w:numPr>
      </w:pPr>
      <w:r w:rsidRPr="00F41D6D">
        <w:t>Coordinate across teams. Partner with the Business Development, Marketing, Finance, and Planning teams to support data collection and reporting on community and economic impact.</w:t>
      </w:r>
    </w:p>
    <w:p w14:paraId="162E4674" w14:textId="77777777" w:rsidR="002F32D0" w:rsidRPr="00F41D6D" w:rsidRDefault="002F32D0">
      <w:pPr>
        <w:spacing w:before="0"/>
        <w:rPr>
          <w:rFonts w:ascii="NeueHaasGroteskDisp Pro" w:hAnsi="NeueHaasGroteskDisp Pro"/>
          <w:color w:val="00269A"/>
          <w:sz w:val="36"/>
          <w:szCs w:val="36"/>
        </w:rPr>
      </w:pPr>
      <w:r w:rsidRPr="00F41D6D">
        <w:br w:type="page"/>
      </w:r>
    </w:p>
    <w:p w14:paraId="2D8E676D" w14:textId="393A8C89" w:rsidR="00DE296F" w:rsidRPr="00F41D6D" w:rsidRDefault="00F12C5C" w:rsidP="00AD109B">
      <w:pPr>
        <w:pStyle w:val="Heading2"/>
        <w:rPr>
          <w:b w:val="0"/>
          <w:bCs w:val="0"/>
        </w:rPr>
      </w:pPr>
      <w:r w:rsidRPr="00F41D6D">
        <w:rPr>
          <w:b w:val="0"/>
          <w:bCs w:val="0"/>
        </w:rPr>
        <w:lastRenderedPageBreak/>
        <w:t>Key Performance Indicators</w:t>
      </w:r>
    </w:p>
    <w:p w14:paraId="4B2296C4" w14:textId="77777777" w:rsidR="00DE296F" w:rsidRPr="00F41D6D" w:rsidRDefault="00F12C5C" w:rsidP="00AD109B">
      <w:r w:rsidRPr="00F41D6D">
        <w:t>Performance is assessed against the following indicators, reviewed quarterly and reset annually with the VP, Real Estate Development.</w:t>
      </w:r>
    </w:p>
    <w:p w14:paraId="08FEB2B3" w14:textId="77777777" w:rsidR="00DE296F" w:rsidRPr="00F41D6D" w:rsidRDefault="00DE296F" w:rsidP="00AD109B"/>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7"/>
        <w:gridCol w:w="4448"/>
      </w:tblGrid>
      <w:tr w:rsidR="00DE296F" w:rsidRPr="00F41D6D" w14:paraId="24EE3B0E" w14:textId="77777777" w:rsidTr="00AD109B">
        <w:trPr>
          <w:tblHeader/>
        </w:trPr>
        <w:tc>
          <w:tcPr>
            <w:tcW w:w="3557" w:type="dxa"/>
            <w:tcBorders>
              <w:top w:val="single" w:sz="4" w:space="0" w:color="00269A"/>
              <w:left w:val="single" w:sz="4" w:space="0" w:color="00269A"/>
              <w:bottom w:val="single" w:sz="4" w:space="0" w:color="00269A"/>
              <w:right w:val="single" w:sz="4" w:space="0" w:color="00269A"/>
            </w:tcBorders>
            <w:shd w:val="clear" w:color="auto" w:fill="00269A"/>
            <w:tcMar>
              <w:top w:w="100" w:type="dxa"/>
              <w:left w:w="160" w:type="dxa"/>
              <w:bottom w:w="100" w:type="dxa"/>
              <w:right w:w="120" w:type="dxa"/>
            </w:tcMar>
          </w:tcPr>
          <w:p w14:paraId="2E1A3A2C" w14:textId="77777777" w:rsidR="00DE296F" w:rsidRPr="00F41D6D" w:rsidRDefault="00F12C5C" w:rsidP="00AD109B">
            <w:pPr>
              <w:pStyle w:val="Strong1"/>
              <w:rPr>
                <w:b w:val="0"/>
                <w:bCs w:val="0"/>
                <w:color w:val="FCF7F6" w:themeColor="background1"/>
              </w:rPr>
            </w:pPr>
            <w:r w:rsidRPr="00F41D6D">
              <w:rPr>
                <w:b w:val="0"/>
                <w:bCs w:val="0"/>
                <w:color w:val="FCF7F6" w:themeColor="background1"/>
              </w:rPr>
              <w:t>Performance Area</w:t>
            </w:r>
          </w:p>
        </w:tc>
        <w:tc>
          <w:tcPr>
            <w:tcW w:w="4448" w:type="dxa"/>
            <w:tcBorders>
              <w:top w:val="single" w:sz="4" w:space="0" w:color="00269A"/>
              <w:left w:val="single" w:sz="4" w:space="0" w:color="00269A"/>
              <w:bottom w:val="single" w:sz="4" w:space="0" w:color="00269A"/>
              <w:right w:val="single" w:sz="4" w:space="0" w:color="00269A"/>
            </w:tcBorders>
            <w:shd w:val="clear" w:color="auto" w:fill="00269A"/>
            <w:tcMar>
              <w:top w:w="100" w:type="dxa"/>
              <w:left w:w="160" w:type="dxa"/>
              <w:bottom w:w="100" w:type="dxa"/>
              <w:right w:w="120" w:type="dxa"/>
            </w:tcMar>
          </w:tcPr>
          <w:p w14:paraId="3F3665DA" w14:textId="77777777" w:rsidR="00DE296F" w:rsidRPr="00F41D6D" w:rsidRDefault="00F12C5C" w:rsidP="00AD109B">
            <w:pPr>
              <w:pStyle w:val="Strong1"/>
              <w:rPr>
                <w:b w:val="0"/>
                <w:bCs w:val="0"/>
                <w:color w:val="FCF7F6" w:themeColor="background1"/>
              </w:rPr>
            </w:pPr>
            <w:r w:rsidRPr="00F41D6D">
              <w:rPr>
                <w:b w:val="0"/>
                <w:bCs w:val="0"/>
                <w:color w:val="FCF7F6" w:themeColor="background1"/>
              </w:rPr>
              <w:t>Annual Target</w:t>
            </w:r>
          </w:p>
        </w:tc>
      </w:tr>
      <w:tr w:rsidR="00DE296F" w:rsidRPr="00F41D6D" w14:paraId="7B6F4F5C" w14:textId="77777777" w:rsidTr="00AD109B">
        <w:tc>
          <w:tcPr>
            <w:tcW w:w="3557"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625C6046" w14:textId="77777777" w:rsidR="00DE296F" w:rsidRPr="00F41D6D" w:rsidRDefault="00F12C5C" w:rsidP="00AD109B">
            <w:r w:rsidRPr="00F41D6D">
              <w:t>Project support</w:t>
            </w:r>
          </w:p>
        </w:tc>
        <w:tc>
          <w:tcPr>
            <w:tcW w:w="4448"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0CE6559E" w14:textId="77777777" w:rsidR="00DE296F" w:rsidRPr="00F41D6D" w:rsidRDefault="00F12C5C" w:rsidP="00AD109B">
            <w:r w:rsidRPr="00F41D6D">
              <w:t>Actively supports assigned commercial/mixed-use development projects from planning through implementation</w:t>
            </w:r>
          </w:p>
        </w:tc>
      </w:tr>
      <w:tr w:rsidR="00DE296F" w:rsidRPr="00F41D6D" w14:paraId="4818E98C" w14:textId="77777777" w:rsidTr="00AD109B">
        <w:tc>
          <w:tcPr>
            <w:tcW w:w="3557"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784468C4" w14:textId="77777777" w:rsidR="00DE296F" w:rsidRPr="00F41D6D" w:rsidRDefault="00F12C5C" w:rsidP="00AD109B">
            <w:r w:rsidRPr="00F41D6D">
              <w:t>Property performance tracking</w:t>
            </w:r>
          </w:p>
        </w:tc>
        <w:tc>
          <w:tcPr>
            <w:tcW w:w="4448"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73741A11" w14:textId="77777777" w:rsidR="00DE296F" w:rsidRPr="00F41D6D" w:rsidRDefault="00F12C5C" w:rsidP="00AD109B">
            <w:r w:rsidRPr="00F41D6D">
              <w:t>Timely tracking of occupancy, lease activity, and performance metrics for BDC-owned/managed properties</w:t>
            </w:r>
          </w:p>
        </w:tc>
      </w:tr>
      <w:tr w:rsidR="00DE296F" w:rsidRPr="00F41D6D" w14:paraId="54C04D04" w14:textId="77777777" w:rsidTr="00AD109B">
        <w:tc>
          <w:tcPr>
            <w:tcW w:w="3557"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7EC484EF" w14:textId="77777777" w:rsidR="00DE296F" w:rsidRPr="00F41D6D" w:rsidRDefault="00F12C5C" w:rsidP="00AD109B">
            <w:r w:rsidRPr="00F41D6D">
              <w:t>Community engagement</w:t>
            </w:r>
          </w:p>
        </w:tc>
        <w:tc>
          <w:tcPr>
            <w:tcW w:w="4448"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542CC64D" w14:textId="77777777" w:rsidR="00DE296F" w:rsidRPr="00F41D6D" w:rsidRDefault="00F12C5C" w:rsidP="00AD109B">
            <w:r w:rsidRPr="00F41D6D">
              <w:t>Consistent participation in community meetings, site visits, and stakeholder engagements</w:t>
            </w:r>
          </w:p>
        </w:tc>
      </w:tr>
      <w:tr w:rsidR="00DE296F" w:rsidRPr="00F41D6D" w14:paraId="193547C3" w14:textId="77777777" w:rsidTr="00AD109B">
        <w:tc>
          <w:tcPr>
            <w:tcW w:w="3557"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70577282" w14:textId="77777777" w:rsidR="00DE296F" w:rsidRPr="00F41D6D" w:rsidRDefault="00F12C5C" w:rsidP="00AD109B">
            <w:r w:rsidRPr="00F41D6D">
              <w:t>Reporting &amp; coordination</w:t>
            </w:r>
          </w:p>
        </w:tc>
        <w:tc>
          <w:tcPr>
            <w:tcW w:w="4448" w:type="dxa"/>
            <w:tcBorders>
              <w:top w:val="single" w:sz="4" w:space="0" w:color="CCCCCC"/>
              <w:left w:val="single" w:sz="4" w:space="0" w:color="CCCCCC"/>
              <w:bottom w:val="single" w:sz="4" w:space="0" w:color="CCCCCC"/>
              <w:right w:val="single" w:sz="4" w:space="0" w:color="CCCCCC"/>
            </w:tcBorders>
            <w:tcMar>
              <w:top w:w="80" w:type="dxa"/>
              <w:left w:w="160" w:type="dxa"/>
              <w:bottom w:w="80" w:type="dxa"/>
              <w:right w:w="120" w:type="dxa"/>
            </w:tcMar>
          </w:tcPr>
          <w:p w14:paraId="65D0E02F" w14:textId="77777777" w:rsidR="00DE296F" w:rsidRPr="00F41D6D" w:rsidRDefault="00F12C5C" w:rsidP="00AD109B">
            <w:r w:rsidRPr="00F41D6D">
              <w:t>Timely completion of briefing materials, reports, and cross-departmental data requests</w:t>
            </w:r>
          </w:p>
        </w:tc>
      </w:tr>
    </w:tbl>
    <w:p w14:paraId="2C0ED1C4" w14:textId="77777777" w:rsidR="00DE296F" w:rsidRPr="00F41D6D" w:rsidRDefault="00DE296F" w:rsidP="00AD109B"/>
    <w:p w14:paraId="34404BE0" w14:textId="0E92D7FB" w:rsidR="00DE296F" w:rsidRPr="00F41D6D" w:rsidRDefault="00F12C5C" w:rsidP="00AD109B">
      <w:r w:rsidRPr="00F41D6D">
        <w:t>Review schedule: Progress is tracked in regular one-on-ones, formalized through quarterly performance check-ins, and evaluated comprehensively in an annual review.</w:t>
      </w:r>
    </w:p>
    <w:p w14:paraId="21ABAFC3" w14:textId="77777777" w:rsidR="00DE296F" w:rsidRPr="00F41D6D" w:rsidRDefault="00F12C5C" w:rsidP="00AD109B">
      <w:pPr>
        <w:pStyle w:val="Heading2"/>
        <w:rPr>
          <w:b w:val="0"/>
          <w:bCs w:val="0"/>
        </w:rPr>
      </w:pPr>
      <w:r w:rsidRPr="00F41D6D">
        <w:rPr>
          <w:b w:val="0"/>
          <w:bCs w:val="0"/>
        </w:rPr>
        <w:t>Required Qualifications</w:t>
      </w:r>
    </w:p>
    <w:p w14:paraId="52828815" w14:textId="77777777" w:rsidR="00DE296F" w:rsidRPr="00F41D6D" w:rsidRDefault="00F12C5C" w:rsidP="00AD109B">
      <w:pPr>
        <w:pStyle w:val="ListParagraph"/>
        <w:numPr>
          <w:ilvl w:val="0"/>
          <w:numId w:val="2"/>
        </w:numPr>
      </w:pPr>
      <w:r w:rsidRPr="00F41D6D">
        <w:t xml:space="preserve">A </w:t>
      </w:r>
      <w:proofErr w:type="gramStart"/>
      <w:r w:rsidRPr="00F41D6D">
        <w:t>Bachelor’s degree in Urban Planning</w:t>
      </w:r>
      <w:proofErr w:type="gramEnd"/>
      <w:r w:rsidRPr="00F41D6D">
        <w:t>, Real Estate, Economics, Public Policy, or a related field.</w:t>
      </w:r>
    </w:p>
    <w:p w14:paraId="74AB68F7" w14:textId="77777777" w:rsidR="00DE296F" w:rsidRPr="00F41D6D" w:rsidRDefault="00F12C5C" w:rsidP="00AD109B">
      <w:pPr>
        <w:pStyle w:val="ListParagraph"/>
        <w:numPr>
          <w:ilvl w:val="0"/>
          <w:numId w:val="2"/>
        </w:numPr>
      </w:pPr>
      <w:r w:rsidRPr="00F41D6D">
        <w:t>3–5 years of experience in economic development, real estate development, community development, or a related field, including experience supporting real estate or development projects.</w:t>
      </w:r>
    </w:p>
    <w:p w14:paraId="6EE6B5AD" w14:textId="77777777" w:rsidR="00DE296F" w:rsidRPr="00F41D6D" w:rsidRDefault="00F12C5C" w:rsidP="00AD109B">
      <w:pPr>
        <w:pStyle w:val="ListParagraph"/>
        <w:numPr>
          <w:ilvl w:val="0"/>
          <w:numId w:val="2"/>
        </w:numPr>
      </w:pPr>
      <w:r w:rsidRPr="00F41D6D">
        <w:t>Working knowledge of real estate development, urban planning, or economic development principles, with familiarity in zoning, land use, and municipal approval processes.</w:t>
      </w:r>
    </w:p>
    <w:p w14:paraId="23D4A7E8" w14:textId="77777777" w:rsidR="00DE296F" w:rsidRPr="00F41D6D" w:rsidRDefault="00F12C5C" w:rsidP="00AD109B">
      <w:pPr>
        <w:pStyle w:val="ListParagraph"/>
        <w:numPr>
          <w:ilvl w:val="0"/>
          <w:numId w:val="2"/>
        </w:numPr>
      </w:pPr>
      <w:r w:rsidRPr="00F41D6D">
        <w:t>Proficiency with Microsoft Office and data tracking tools.</w:t>
      </w:r>
    </w:p>
    <w:p w14:paraId="303A4513" w14:textId="77777777" w:rsidR="00DE296F" w:rsidRPr="00F41D6D" w:rsidRDefault="00F12C5C" w:rsidP="00AD109B">
      <w:pPr>
        <w:pStyle w:val="ListParagraph"/>
        <w:numPr>
          <w:ilvl w:val="0"/>
          <w:numId w:val="2"/>
        </w:numPr>
      </w:pPr>
      <w:r w:rsidRPr="00F41D6D">
        <w:t>Strong organizational, analytical, and written communication skills, with experience working with public, private, or nonprofit stakeholders.</w:t>
      </w:r>
    </w:p>
    <w:p w14:paraId="21DA831F" w14:textId="175AB9B3" w:rsidR="00DE296F" w:rsidRPr="00F41D6D" w:rsidRDefault="00F12C5C" w:rsidP="00AD109B">
      <w:pPr>
        <w:pStyle w:val="ListParagraph"/>
        <w:numPr>
          <w:ilvl w:val="0"/>
          <w:numId w:val="2"/>
        </w:numPr>
      </w:pPr>
      <w:r w:rsidRPr="00F41D6D">
        <w:t xml:space="preserve">Knowledge of Baltimore’s economic and civic landscape and familiarity with the </w:t>
      </w:r>
      <w:proofErr w:type="gramStart"/>
      <w:r w:rsidRPr="00F41D6D">
        <w:t>Mayor’s</w:t>
      </w:r>
      <w:proofErr w:type="gramEnd"/>
      <w:r w:rsidRPr="00F41D6D">
        <w:t xml:space="preserve"> strategic priorities is a strong plus.</w:t>
      </w:r>
    </w:p>
    <w:p w14:paraId="56E4F641" w14:textId="77777777" w:rsidR="00DE296F" w:rsidRPr="00F41D6D" w:rsidRDefault="00F12C5C" w:rsidP="00AD109B">
      <w:pPr>
        <w:pStyle w:val="Heading2"/>
        <w:rPr>
          <w:b w:val="0"/>
          <w:bCs w:val="0"/>
        </w:rPr>
      </w:pPr>
      <w:r w:rsidRPr="00F41D6D">
        <w:rPr>
          <w:b w:val="0"/>
          <w:bCs w:val="0"/>
        </w:rPr>
        <w:t>Office Environment</w:t>
      </w:r>
    </w:p>
    <w:p w14:paraId="1D844DC2" w14:textId="080A7FD9" w:rsidR="00DE296F" w:rsidRPr="00F41D6D" w:rsidRDefault="00F12C5C" w:rsidP="00AD109B">
      <w:r w:rsidRPr="00F41D6D">
        <w:lastRenderedPageBreak/>
        <w:t>BDC offers a collaborative, fast-paced, and mission-driven work environment in the heart of downtown Baltimore, with a modern, professional office setting. This is an in-office position; standard hours are 9:00 a.m. to 5:00 p.m., Monday through Friday. Weekend and evening meetings occur as necessary to meet the needs of the businesses we serve. The position may also require occasional regional travel.</w:t>
      </w:r>
    </w:p>
    <w:p w14:paraId="77A7D3EE" w14:textId="08518C16" w:rsidR="00DE296F" w:rsidRPr="00F41D6D" w:rsidRDefault="00F12C5C" w:rsidP="00AD109B">
      <w:pPr>
        <w:pStyle w:val="Heading2"/>
        <w:rPr>
          <w:b w:val="0"/>
          <w:bCs w:val="0"/>
        </w:rPr>
      </w:pPr>
      <w:r w:rsidRPr="00F41D6D">
        <w:rPr>
          <w:b w:val="0"/>
          <w:bCs w:val="0"/>
        </w:rPr>
        <w:t>Physical Requirements</w:t>
      </w:r>
    </w:p>
    <w:p w14:paraId="79936FD6" w14:textId="42D532CB" w:rsidR="00DE296F" w:rsidRPr="00F41D6D" w:rsidRDefault="00F12C5C" w:rsidP="00AD109B">
      <w:r w:rsidRPr="00F41D6D">
        <w:t>This is a primarily sedentary role performed in an office environment. The position requires the ability to operate standard office equipment, communicate effectively in person and virtually, and occasionally move about the office and travel to off-site meetings and events. Reasonable accommodations will be made to enable individuals with disabilities to perform the essential functions of the role.</w:t>
      </w:r>
    </w:p>
    <w:p w14:paraId="28364F38" w14:textId="77777777" w:rsidR="00DE296F" w:rsidRPr="00F41D6D" w:rsidRDefault="00F12C5C" w:rsidP="00AD109B">
      <w:pPr>
        <w:pStyle w:val="Heading2"/>
        <w:rPr>
          <w:b w:val="0"/>
          <w:bCs w:val="0"/>
        </w:rPr>
      </w:pPr>
      <w:r w:rsidRPr="00F41D6D">
        <w:rPr>
          <w:b w:val="0"/>
          <w:bCs w:val="0"/>
        </w:rPr>
        <w:t>Salary &amp; Benefits</w:t>
      </w:r>
    </w:p>
    <w:p w14:paraId="2FDD6476" w14:textId="412113CD" w:rsidR="00DE296F" w:rsidRPr="00F41D6D" w:rsidRDefault="00F12C5C" w:rsidP="00AD109B">
      <w:r w:rsidRPr="00F41D6D">
        <w:t>The salary range for this position is $75,000 – $90,000, commensurate with experience and qualifications. BDC offers a comprehensive benefits package, including health, dental, and vision coverage; retirement plan contributions; paid time off; and ongoing professional development opportunities.</w:t>
      </w:r>
    </w:p>
    <w:p w14:paraId="5B63D36A" w14:textId="77777777" w:rsidR="00DE296F" w:rsidRPr="00F41D6D" w:rsidRDefault="00F12C5C" w:rsidP="00AD109B">
      <w:pPr>
        <w:pStyle w:val="Heading2"/>
        <w:rPr>
          <w:b w:val="0"/>
          <w:bCs w:val="0"/>
        </w:rPr>
      </w:pPr>
      <w:r w:rsidRPr="00F41D6D">
        <w:rPr>
          <w:b w:val="0"/>
          <w:bCs w:val="0"/>
        </w:rPr>
        <w:t>Application Process</w:t>
      </w:r>
    </w:p>
    <w:p w14:paraId="1B1E2D8C" w14:textId="7DFA9185" w:rsidR="00DE296F" w:rsidRPr="00F41D6D" w:rsidRDefault="00F12C5C" w:rsidP="00AD109B">
      <w:r w:rsidRPr="00F41D6D">
        <w:t>Interested candidates should submit a resume and a cover letter describing their qualifications and interest in the role to smclaughlin@baltimoredevelopment.com, with “EDO_RE” in the subject heading. Applications will be reviewed on a rolling basis until the position is filled.</w:t>
      </w:r>
    </w:p>
    <w:p w14:paraId="6FC619FD" w14:textId="77777777" w:rsidR="00DE296F" w:rsidRPr="00F41D6D" w:rsidRDefault="00F12C5C" w:rsidP="00AD109B">
      <w:pPr>
        <w:pBdr>
          <w:top w:val="single" w:sz="4" w:space="1" w:color="00269A" w:themeColor="text2"/>
        </w:pBdr>
        <w:spacing w:before="360"/>
        <w:rPr>
          <w:rStyle w:val="SubtleEmphasis"/>
          <w:color w:val="929292" w:themeColor="text1" w:themeTint="80"/>
          <w:sz w:val="16"/>
          <w:szCs w:val="16"/>
        </w:rPr>
      </w:pPr>
      <w:r w:rsidRPr="00F41D6D">
        <w:rPr>
          <w:rStyle w:val="SubtleEmphasis"/>
          <w:color w:val="929292" w:themeColor="text1" w:themeTint="80"/>
          <w:sz w:val="16"/>
          <w:szCs w:val="16"/>
        </w:rPr>
        <w:t xml:space="preserve">The Baltimore Development Corporation is an equal opportunity employer. BDC does not and shall not discriminate </w:t>
      </w:r>
      <w:proofErr w:type="gramStart"/>
      <w:r w:rsidRPr="00F41D6D">
        <w:rPr>
          <w:rStyle w:val="SubtleEmphasis"/>
          <w:color w:val="929292" w:themeColor="text1" w:themeTint="80"/>
          <w:sz w:val="16"/>
          <w:szCs w:val="16"/>
        </w:rPr>
        <w:t>on the basis of</w:t>
      </w:r>
      <w:proofErr w:type="gramEnd"/>
      <w:r w:rsidRPr="00F41D6D">
        <w:rPr>
          <w:rStyle w:val="SubtleEmphasis"/>
          <w:color w:val="929292" w:themeColor="text1" w:themeTint="80"/>
          <w:sz w:val="16"/>
          <w:szCs w:val="16"/>
        </w:rPr>
        <w:t xml:space="preserve"> race, color, religion (creed), gender, gender expression, age, national origin (ancestry), disability, marital status, sexual orientation, or military status in any of its activities or operations. We are committed to building a diverse, equitable, and inclusive workplace and strongly encourage applications from candidates of all backgrounds.</w:t>
      </w:r>
    </w:p>
    <w:sectPr w:rsidR="00DE296F" w:rsidRPr="00F41D6D" w:rsidSect="002F32D0">
      <w:headerReference w:type="default" r:id="rId10"/>
      <w:footerReference w:type="default" r:id="rId11"/>
      <w:pgSz w:w="12240" w:h="15840"/>
      <w:pgMar w:top="1080" w:right="1440" w:bottom="108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A864" w14:textId="77777777" w:rsidR="001D58F2" w:rsidRDefault="001D58F2" w:rsidP="00AD109B">
      <w:r>
        <w:separator/>
      </w:r>
    </w:p>
  </w:endnote>
  <w:endnote w:type="continuationSeparator" w:id="0">
    <w:p w14:paraId="793BC1EB" w14:textId="77777777" w:rsidR="001D58F2" w:rsidRDefault="001D58F2" w:rsidP="00AD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ue Haas Grotesk Text Pro">
    <w:altName w:val="Calibri"/>
    <w:panose1 w:val="020B0504020202020204"/>
    <w:charset w:val="4D"/>
    <w:family w:val="swiss"/>
    <w:notTrueType/>
    <w:pitch w:val="variable"/>
    <w:sig w:usb0="00000007" w:usb1="00000000" w:usb2="00000000" w:usb3="00000000" w:csb0="00000093" w:csb1="00000000"/>
  </w:font>
  <w:font w:name="NeueHaasGroteskText Pro">
    <w:panose1 w:val="020B0504020202020204"/>
    <w:charset w:val="4D"/>
    <w:family w:val="swiss"/>
    <w:notTrueType/>
    <w:pitch w:val="variable"/>
    <w:sig w:usb0="00000007" w:usb1="00000000"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NeueHaasGroteskDisp Pro">
    <w:panose1 w:val="020B0804020202020204"/>
    <w:charset w:val="4D"/>
    <w:family w:val="swiss"/>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Neue Haas Grotesk Display Pro">
    <w:altName w:val="Calibri"/>
    <w:panose1 w:val="020B0804020202020204"/>
    <w:charset w:val="4D"/>
    <w:family w:val="swiss"/>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5961" w14:textId="77777777" w:rsidR="00AD109B" w:rsidRDefault="00AD109B" w:rsidP="00AD109B">
    <w:pPr>
      <w:tabs>
        <w:tab w:val="right" w:pos="9360"/>
      </w:tabs>
      <w:rPr>
        <w:rFonts w:ascii="Neue Haas Grotesk Display Pro" w:eastAsia="Neue Haas Grotesk Display Pro" w:hAnsi="Neue Haas Grotesk Display Pro" w:cs="Neue Haas Grotesk Display Pro"/>
        <w:color w:val="00269A"/>
        <w:sz w:val="14"/>
        <w:szCs w:val="14"/>
      </w:rPr>
    </w:pPr>
    <w:r>
      <w:rPr>
        <w:rFonts w:ascii="Neue Haas Grotesk Display Pro" w:eastAsia="Neue Haas Grotesk Display Pro" w:hAnsi="Neue Haas Grotesk Display Pro" w:cs="Neue Haas Grotesk Display Pro"/>
        <w:color w:val="00269A"/>
        <w:sz w:val="14"/>
        <w:szCs w:val="14"/>
      </w:rPr>
      <w:t xml:space="preserve">36 S. Charles St. Suite 2100 Baltimore, MD 21201 410.837.9305 </w:t>
    </w:r>
    <w:r>
      <w:rPr>
        <w:rFonts w:ascii="Neue Haas Grotesk Display Pro" w:eastAsia="Neue Haas Grotesk Display Pro" w:hAnsi="Neue Haas Grotesk Display Pro" w:cs="Neue Haas Grotesk Display Pro"/>
        <w:b/>
        <w:bCs/>
        <w:color w:val="00269A"/>
        <w:sz w:val="14"/>
        <w:szCs w:val="14"/>
      </w:rPr>
      <w:t>O</w:t>
    </w:r>
    <w:r>
      <w:rPr>
        <w:rFonts w:ascii="Neue Haas Grotesk Display Pro" w:eastAsia="Neue Haas Grotesk Display Pro" w:hAnsi="Neue Haas Grotesk Display Pro" w:cs="Neue Haas Grotesk Display Pro"/>
        <w:color w:val="00269A"/>
        <w:sz w:val="14"/>
        <w:szCs w:val="14"/>
      </w:rPr>
      <w:t xml:space="preserve"> 410.837.6363 </w:t>
    </w:r>
    <w:r>
      <w:rPr>
        <w:rFonts w:ascii="Neue Haas Grotesk Display Pro" w:eastAsia="Neue Haas Grotesk Display Pro" w:hAnsi="Neue Haas Grotesk Display Pro" w:cs="Neue Haas Grotesk Display Pro"/>
        <w:b/>
        <w:bCs/>
        <w:color w:val="00269A"/>
        <w:sz w:val="14"/>
        <w:szCs w:val="14"/>
      </w:rPr>
      <w:t>F</w:t>
    </w:r>
    <w:r>
      <w:rPr>
        <w:rFonts w:ascii="Neue Haas Grotesk Display Pro" w:eastAsia="Neue Haas Grotesk Display Pro" w:hAnsi="Neue Haas Grotesk Display Pro" w:cs="Neue Haas Grotesk Display Pro"/>
        <w:color w:val="00269A"/>
        <w:sz w:val="14"/>
        <w:szCs w:val="14"/>
      </w:rPr>
      <w:t xml:space="preserve"> </w:t>
    </w:r>
    <w:r>
      <w:rPr>
        <w:rFonts w:ascii="Neue Haas Grotesk Display Pro" w:eastAsia="Neue Haas Grotesk Display Pro" w:hAnsi="Neue Haas Grotesk Display Pro" w:cs="Neue Haas Grotesk Display Pro"/>
        <w:b/>
        <w:bCs/>
        <w:color w:val="00269A"/>
        <w:sz w:val="14"/>
        <w:szCs w:val="14"/>
      </w:rPr>
      <w:t>BaltimoreDevelopment.com</w:t>
    </w:r>
    <w:r>
      <w:rPr>
        <w:rFonts w:ascii="Neue Haas Grotesk Display Pro" w:eastAsia="Neue Haas Grotesk Display Pro" w:hAnsi="Neue Haas Grotesk Display Pro" w:cs="Neue Haas Grotesk Display Pro"/>
        <w:color w:val="00269A"/>
        <w:sz w:val="14"/>
        <w:szCs w:val="14"/>
      </w:rPr>
      <w:tab/>
    </w:r>
    <w:r>
      <w:rPr>
        <w:rFonts w:ascii="Neue Haas Grotesk Display Pro" w:eastAsia="Neue Haas Grotesk Display Pro" w:hAnsi="Neue Haas Grotesk Display Pro" w:cs="Neue Haas Grotesk Display Pro"/>
        <w:color w:val="00269A"/>
        <w:sz w:val="14"/>
        <w:szCs w:val="14"/>
      </w:rPr>
      <w:fldChar w:fldCharType="begin"/>
    </w:r>
    <w:r>
      <w:rPr>
        <w:rFonts w:ascii="Neue Haas Grotesk Display Pro" w:eastAsia="Neue Haas Grotesk Display Pro" w:hAnsi="Neue Haas Grotesk Display Pro" w:cs="Neue Haas Grotesk Display Pro"/>
        <w:color w:val="00269A"/>
        <w:sz w:val="14"/>
        <w:szCs w:val="14"/>
      </w:rPr>
      <w:instrText xml:space="preserve"> PAGE </w:instrText>
    </w:r>
    <w:r>
      <w:rPr>
        <w:rFonts w:ascii="Neue Haas Grotesk Display Pro" w:eastAsia="Neue Haas Grotesk Display Pro" w:hAnsi="Neue Haas Grotesk Display Pro" w:cs="Neue Haas Grotesk Display Pro"/>
        <w:color w:val="00269A"/>
        <w:sz w:val="14"/>
        <w:szCs w:val="14"/>
      </w:rPr>
      <w:fldChar w:fldCharType="separate"/>
    </w:r>
    <w:r>
      <w:rPr>
        <w:rFonts w:ascii="Neue Haas Grotesk Display Pro" w:eastAsia="Neue Haas Grotesk Display Pro" w:hAnsi="Neue Haas Grotesk Display Pro" w:cs="Neue Haas Grotesk Display Pro"/>
        <w:color w:val="00269A"/>
        <w:sz w:val="14"/>
        <w:szCs w:val="14"/>
      </w:rPr>
      <w:t>1</w:t>
    </w:r>
    <w:r>
      <w:rPr>
        <w:rFonts w:ascii="Neue Haas Grotesk Display Pro" w:eastAsia="Neue Haas Grotesk Display Pro" w:hAnsi="Neue Haas Grotesk Display Pro" w:cs="Neue Haas Grotesk Display Pro"/>
        <w:color w:val="00269A"/>
        <w:sz w:val="14"/>
        <w:szCs w:val="14"/>
      </w:rPr>
      <w:fldChar w:fldCharType="end"/>
    </w:r>
    <w:r>
      <w:rPr>
        <w:rFonts w:ascii="Neue Haas Grotesk Display Pro" w:eastAsia="Neue Haas Grotesk Display Pro" w:hAnsi="Neue Haas Grotesk Display Pro" w:cs="Neue Haas Grotesk Display Pro"/>
        <w:color w:val="00269A"/>
        <w:sz w:val="14"/>
        <w:szCs w:val="14"/>
      </w:rPr>
      <w:t xml:space="preserve"> of </w:t>
    </w:r>
    <w:r>
      <w:rPr>
        <w:rFonts w:ascii="Neue Haas Grotesk Display Pro" w:eastAsia="Neue Haas Grotesk Display Pro" w:hAnsi="Neue Haas Grotesk Display Pro" w:cs="Neue Haas Grotesk Display Pro"/>
        <w:color w:val="00269A"/>
        <w:sz w:val="14"/>
        <w:szCs w:val="14"/>
      </w:rPr>
      <w:fldChar w:fldCharType="begin"/>
    </w:r>
    <w:r>
      <w:rPr>
        <w:rFonts w:ascii="Neue Haas Grotesk Display Pro" w:eastAsia="Neue Haas Grotesk Display Pro" w:hAnsi="Neue Haas Grotesk Display Pro" w:cs="Neue Haas Grotesk Display Pro"/>
        <w:color w:val="00269A"/>
        <w:sz w:val="14"/>
        <w:szCs w:val="14"/>
      </w:rPr>
      <w:instrText xml:space="preserve"> NUMPAGES </w:instrText>
    </w:r>
    <w:r>
      <w:rPr>
        <w:rFonts w:ascii="Neue Haas Grotesk Display Pro" w:eastAsia="Neue Haas Grotesk Display Pro" w:hAnsi="Neue Haas Grotesk Display Pro" w:cs="Neue Haas Grotesk Display Pro"/>
        <w:color w:val="00269A"/>
        <w:sz w:val="14"/>
        <w:szCs w:val="14"/>
      </w:rPr>
      <w:fldChar w:fldCharType="separate"/>
    </w:r>
    <w:r>
      <w:rPr>
        <w:rFonts w:ascii="Neue Haas Grotesk Display Pro" w:eastAsia="Neue Haas Grotesk Display Pro" w:hAnsi="Neue Haas Grotesk Display Pro" w:cs="Neue Haas Grotesk Display Pro"/>
        <w:color w:val="00269A"/>
        <w:sz w:val="14"/>
        <w:szCs w:val="14"/>
      </w:rPr>
      <w:t>1</w:t>
    </w:r>
    <w:r>
      <w:rPr>
        <w:rFonts w:ascii="Neue Haas Grotesk Display Pro" w:eastAsia="Neue Haas Grotesk Display Pro" w:hAnsi="Neue Haas Grotesk Display Pro" w:cs="Neue Haas Grotesk Display Pro"/>
        <w:color w:val="00269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BD42" w14:textId="77777777" w:rsidR="001D58F2" w:rsidRDefault="001D58F2" w:rsidP="00AD109B">
      <w:r>
        <w:separator/>
      </w:r>
    </w:p>
  </w:footnote>
  <w:footnote w:type="continuationSeparator" w:id="0">
    <w:p w14:paraId="7CA7D74D" w14:textId="77777777" w:rsidR="001D58F2" w:rsidRDefault="001D58F2" w:rsidP="00AD1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6770" w14:textId="77777777" w:rsidR="00DE296F" w:rsidRDefault="00F12C5C" w:rsidP="002F32D0">
    <w:pPr>
      <w:spacing w:after="480"/>
    </w:pPr>
    <w:r>
      <w:rPr>
        <w:noProof/>
      </w:rPr>
      <w:drawing>
        <wp:inline distT="0" distB="0" distL="0" distR="0" wp14:anchorId="7C7E6E31" wp14:editId="19564610">
          <wp:extent cx="1714500" cy="428625"/>
          <wp:effectExtent l="0" t="0" r="0" b="0"/>
          <wp:docPr id="1810686833" name="Picture 181068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714500" cy="428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046F6"/>
    <w:multiLevelType w:val="hybridMultilevel"/>
    <w:tmpl w:val="207C9914"/>
    <w:lvl w:ilvl="0" w:tplc="3B5830BC">
      <w:start w:val="1"/>
      <w:numFmt w:val="bullet"/>
      <w:lvlText w:val="◦"/>
      <w:lvlJc w:val="left"/>
      <w:pPr>
        <w:ind w:left="900" w:hanging="280"/>
      </w:pPr>
      <w:rPr>
        <w:rFonts w:ascii="Neue Haas Grotesk Text Pro" w:eastAsia="Neue Haas Grotesk Text Pro" w:hAnsi="Neue Haas Grotesk Text Pro" w:cs="Neue Haas Grotesk Text Pro"/>
        <w:color w:val="262626"/>
        <w:sz w:val="20"/>
        <w:szCs w:val="20"/>
      </w:rPr>
    </w:lvl>
    <w:lvl w:ilvl="1" w:tplc="105A8BB4">
      <w:numFmt w:val="decimal"/>
      <w:lvlText w:val=""/>
      <w:lvlJc w:val="left"/>
    </w:lvl>
    <w:lvl w:ilvl="2" w:tplc="F31E56DC">
      <w:numFmt w:val="decimal"/>
      <w:lvlText w:val=""/>
      <w:lvlJc w:val="left"/>
    </w:lvl>
    <w:lvl w:ilvl="3" w:tplc="A9780282">
      <w:numFmt w:val="decimal"/>
      <w:lvlText w:val=""/>
      <w:lvlJc w:val="left"/>
    </w:lvl>
    <w:lvl w:ilvl="4" w:tplc="7D4EA3AC">
      <w:numFmt w:val="decimal"/>
      <w:lvlText w:val=""/>
      <w:lvlJc w:val="left"/>
    </w:lvl>
    <w:lvl w:ilvl="5" w:tplc="7CAC3ED2">
      <w:numFmt w:val="decimal"/>
      <w:lvlText w:val=""/>
      <w:lvlJc w:val="left"/>
    </w:lvl>
    <w:lvl w:ilvl="6" w:tplc="875C74EA">
      <w:numFmt w:val="decimal"/>
      <w:lvlText w:val=""/>
      <w:lvlJc w:val="left"/>
    </w:lvl>
    <w:lvl w:ilvl="7" w:tplc="CCDC9B50">
      <w:numFmt w:val="decimal"/>
      <w:lvlText w:val=""/>
      <w:lvlJc w:val="left"/>
    </w:lvl>
    <w:lvl w:ilvl="8" w:tplc="CF52F79C">
      <w:numFmt w:val="decimal"/>
      <w:lvlText w:val=""/>
      <w:lvlJc w:val="left"/>
    </w:lvl>
  </w:abstractNum>
  <w:abstractNum w:abstractNumId="1" w15:restartNumberingAfterBreak="0">
    <w:nsid w:val="3C7E7F80"/>
    <w:multiLevelType w:val="hybridMultilevel"/>
    <w:tmpl w:val="5790B304"/>
    <w:lvl w:ilvl="0" w:tplc="14625C5E">
      <w:start w:val="1"/>
      <w:numFmt w:val="bullet"/>
      <w:lvlText w:val="●"/>
      <w:lvlJc w:val="left"/>
      <w:pPr>
        <w:ind w:left="720" w:hanging="360"/>
      </w:pPr>
    </w:lvl>
    <w:lvl w:ilvl="1" w:tplc="1D9A0CD6">
      <w:start w:val="1"/>
      <w:numFmt w:val="bullet"/>
      <w:lvlText w:val="○"/>
      <w:lvlJc w:val="left"/>
      <w:pPr>
        <w:ind w:left="1440" w:hanging="360"/>
      </w:pPr>
    </w:lvl>
    <w:lvl w:ilvl="2" w:tplc="AB8E0FEA">
      <w:start w:val="1"/>
      <w:numFmt w:val="bullet"/>
      <w:lvlText w:val="■"/>
      <w:lvlJc w:val="left"/>
      <w:pPr>
        <w:ind w:left="2160" w:hanging="360"/>
      </w:pPr>
    </w:lvl>
    <w:lvl w:ilvl="3" w:tplc="D410057E">
      <w:start w:val="1"/>
      <w:numFmt w:val="bullet"/>
      <w:lvlText w:val="●"/>
      <w:lvlJc w:val="left"/>
      <w:pPr>
        <w:ind w:left="2880" w:hanging="360"/>
      </w:pPr>
    </w:lvl>
    <w:lvl w:ilvl="4" w:tplc="F7EE18D8">
      <w:start w:val="1"/>
      <w:numFmt w:val="bullet"/>
      <w:lvlText w:val="○"/>
      <w:lvlJc w:val="left"/>
      <w:pPr>
        <w:ind w:left="3600" w:hanging="360"/>
      </w:pPr>
    </w:lvl>
    <w:lvl w:ilvl="5" w:tplc="5A1EA736">
      <w:start w:val="1"/>
      <w:numFmt w:val="bullet"/>
      <w:lvlText w:val="■"/>
      <w:lvlJc w:val="left"/>
      <w:pPr>
        <w:ind w:left="4320" w:hanging="360"/>
      </w:pPr>
    </w:lvl>
    <w:lvl w:ilvl="6" w:tplc="48B01CA8">
      <w:start w:val="1"/>
      <w:numFmt w:val="bullet"/>
      <w:lvlText w:val="●"/>
      <w:lvlJc w:val="left"/>
      <w:pPr>
        <w:ind w:left="5040" w:hanging="360"/>
      </w:pPr>
    </w:lvl>
    <w:lvl w:ilvl="7" w:tplc="C48CB234">
      <w:start w:val="1"/>
      <w:numFmt w:val="bullet"/>
      <w:lvlText w:val="●"/>
      <w:lvlJc w:val="left"/>
      <w:pPr>
        <w:ind w:left="5760" w:hanging="360"/>
      </w:pPr>
    </w:lvl>
    <w:lvl w:ilvl="8" w:tplc="1DB2B7DA">
      <w:start w:val="1"/>
      <w:numFmt w:val="bullet"/>
      <w:lvlText w:val="●"/>
      <w:lvlJc w:val="left"/>
      <w:pPr>
        <w:ind w:left="6480" w:hanging="360"/>
      </w:pPr>
    </w:lvl>
  </w:abstractNum>
  <w:abstractNum w:abstractNumId="2" w15:restartNumberingAfterBreak="0">
    <w:nsid w:val="70537AEE"/>
    <w:multiLevelType w:val="hybridMultilevel"/>
    <w:tmpl w:val="89EA49E8"/>
    <w:lvl w:ilvl="0" w:tplc="DEC4B598">
      <w:start w:val="1"/>
      <w:numFmt w:val="bullet"/>
      <w:lvlText w:val="•"/>
      <w:lvlJc w:val="left"/>
      <w:pPr>
        <w:ind w:left="480" w:hanging="280"/>
      </w:pPr>
      <w:rPr>
        <w:rFonts w:ascii="Neue Haas Grotesk Text Pro" w:eastAsia="Neue Haas Grotesk Text Pro" w:hAnsi="Neue Haas Grotesk Text Pro" w:cs="Neue Haas Grotesk Text Pro"/>
        <w:color w:val="262626"/>
        <w:sz w:val="20"/>
        <w:szCs w:val="20"/>
      </w:rPr>
    </w:lvl>
    <w:lvl w:ilvl="1" w:tplc="3600F406">
      <w:numFmt w:val="decimal"/>
      <w:lvlText w:val=""/>
      <w:lvlJc w:val="left"/>
    </w:lvl>
    <w:lvl w:ilvl="2" w:tplc="29921EDA">
      <w:numFmt w:val="decimal"/>
      <w:lvlText w:val=""/>
      <w:lvlJc w:val="left"/>
    </w:lvl>
    <w:lvl w:ilvl="3" w:tplc="E1A2BA4E">
      <w:numFmt w:val="decimal"/>
      <w:lvlText w:val=""/>
      <w:lvlJc w:val="left"/>
    </w:lvl>
    <w:lvl w:ilvl="4" w:tplc="D9E2394A">
      <w:numFmt w:val="decimal"/>
      <w:lvlText w:val=""/>
      <w:lvlJc w:val="left"/>
    </w:lvl>
    <w:lvl w:ilvl="5" w:tplc="4C862A86">
      <w:numFmt w:val="decimal"/>
      <w:lvlText w:val=""/>
      <w:lvlJc w:val="left"/>
    </w:lvl>
    <w:lvl w:ilvl="6" w:tplc="BC28E5A4">
      <w:numFmt w:val="decimal"/>
      <w:lvlText w:val=""/>
      <w:lvlJc w:val="left"/>
    </w:lvl>
    <w:lvl w:ilvl="7" w:tplc="401CBDF2">
      <w:numFmt w:val="decimal"/>
      <w:lvlText w:val=""/>
      <w:lvlJc w:val="left"/>
    </w:lvl>
    <w:lvl w:ilvl="8" w:tplc="6C4AECFA">
      <w:numFmt w:val="decimal"/>
      <w:lvlText w:val=""/>
      <w:lvlJc w:val="left"/>
    </w:lvl>
  </w:abstractNum>
  <w:num w:numId="1" w16cid:durableId="91244127">
    <w:abstractNumId w:val="1"/>
    <w:lvlOverride w:ilvl="0">
      <w:startOverride w:val="1"/>
    </w:lvlOverride>
  </w:num>
  <w:num w:numId="2" w16cid:durableId="129926479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6F"/>
    <w:rsid w:val="00021C3D"/>
    <w:rsid w:val="001D58F2"/>
    <w:rsid w:val="002E1543"/>
    <w:rsid w:val="002F32D0"/>
    <w:rsid w:val="003F739F"/>
    <w:rsid w:val="006005A6"/>
    <w:rsid w:val="009630ED"/>
    <w:rsid w:val="00AC52A9"/>
    <w:rsid w:val="00AD109B"/>
    <w:rsid w:val="00AE5C32"/>
    <w:rsid w:val="00DC1158"/>
    <w:rsid w:val="00DE296F"/>
    <w:rsid w:val="00E32349"/>
    <w:rsid w:val="00F12C5C"/>
    <w:rsid w:val="00F4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89020"/>
  <w15:docId w15:val="{7EF5B049-8ED7-5F49-B7A2-4419DB5C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ue Haas Grotesk Text Pro" w:eastAsia="Neue Haas Grotesk Text Pro" w:hAnsi="Neue Haas Grotesk Text Pro" w:cs="Neue Haas Grotesk Text Pro"/>
        <w:color w:val="2626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09B"/>
    <w:pPr>
      <w:spacing w:before="120"/>
    </w:pPr>
    <w:rPr>
      <w:rFonts w:ascii="NeueHaasGroteskText Pro" w:eastAsia="Arial" w:hAnsi="NeueHaasGroteskText Pro" w:cs="Arial"/>
      <w:sz w:val="21"/>
      <w:szCs w:val="21"/>
    </w:rPr>
  </w:style>
  <w:style w:type="paragraph" w:styleId="Heading1">
    <w:name w:val="heading 1"/>
    <w:uiPriority w:val="9"/>
    <w:qFormat/>
    <w:rsid w:val="00AD109B"/>
    <w:pPr>
      <w:spacing w:before="360" w:after="240"/>
      <w:outlineLvl w:val="0"/>
    </w:pPr>
    <w:rPr>
      <w:rFonts w:ascii="NeueHaasGroteskDisp Pro" w:eastAsia="Arial" w:hAnsi="NeueHaasGroteskDisp Pro" w:cs="Arial"/>
      <w:b/>
      <w:bCs/>
      <w:color w:val="00269A"/>
      <w:sz w:val="48"/>
      <w:szCs w:val="48"/>
    </w:rPr>
  </w:style>
  <w:style w:type="paragraph" w:styleId="Heading2">
    <w:name w:val="heading 2"/>
    <w:uiPriority w:val="9"/>
    <w:unhideWhenUsed/>
    <w:qFormat/>
    <w:rsid w:val="00AD109B"/>
    <w:pPr>
      <w:pBdr>
        <w:bottom w:val="single" w:sz="4" w:space="1" w:color="00269A" w:themeColor="text2"/>
      </w:pBdr>
      <w:spacing w:before="480" w:after="120"/>
      <w:outlineLvl w:val="1"/>
    </w:pPr>
    <w:rPr>
      <w:rFonts w:ascii="NeueHaasGroteskDisp Pro" w:eastAsia="Arial" w:hAnsi="NeueHaasGroteskDisp Pro" w:cs="Arial"/>
      <w:b/>
      <w:bCs/>
      <w:color w:val="00269A"/>
      <w:sz w:val="36"/>
      <w:szCs w:val="36"/>
    </w:rPr>
  </w:style>
  <w:style w:type="paragraph" w:styleId="Heading3">
    <w:name w:val="heading 3"/>
    <w:uiPriority w:val="9"/>
    <w:unhideWhenUsed/>
    <w:qFormat/>
    <w:rsid w:val="00AD109B"/>
    <w:pPr>
      <w:spacing w:before="240"/>
      <w:outlineLvl w:val="2"/>
    </w:pPr>
    <w:rPr>
      <w:rFonts w:ascii="NeueHaasGroteskDisp Pro" w:eastAsia="Arial" w:hAnsi="NeueHaasGroteskDisp Pro" w:cs="Arial"/>
      <w:b/>
      <w:bCs/>
      <w:color w:val="00269A" w:themeColor="text2"/>
      <w:sz w:val="24"/>
      <w:szCs w:val="24"/>
    </w:rPr>
  </w:style>
  <w:style w:type="paragraph" w:styleId="Heading4">
    <w:name w:val="heading 4"/>
    <w:uiPriority w:val="9"/>
    <w:semiHidden/>
    <w:unhideWhenUsed/>
    <w:qFormat/>
    <w:rsid w:val="00AD109B"/>
    <w:pPr>
      <w:outlineLvl w:val="3"/>
    </w:pPr>
    <w:rPr>
      <w:rFonts w:ascii="Arial" w:eastAsia="Arial" w:hAnsi="Arial" w:cs="Arial"/>
      <w:i/>
      <w:iCs/>
      <w:color w:val="2E74B5"/>
      <w:sz w:val="21"/>
      <w:szCs w:val="21"/>
    </w:rPr>
  </w:style>
  <w:style w:type="paragraph" w:styleId="Heading5">
    <w:name w:val="heading 5"/>
    <w:uiPriority w:val="9"/>
    <w:semiHidden/>
    <w:unhideWhenUsed/>
    <w:qFormat/>
    <w:rsid w:val="00AD109B"/>
    <w:pPr>
      <w:outlineLvl w:val="4"/>
    </w:pPr>
    <w:rPr>
      <w:rFonts w:ascii="Arial" w:eastAsia="Arial" w:hAnsi="Arial" w:cs="Arial"/>
      <w:color w:val="2E74B5"/>
      <w:sz w:val="21"/>
      <w:szCs w:val="21"/>
    </w:rPr>
  </w:style>
  <w:style w:type="paragraph" w:styleId="Heading6">
    <w:name w:val="heading 6"/>
    <w:uiPriority w:val="9"/>
    <w:semiHidden/>
    <w:unhideWhenUsed/>
    <w:qFormat/>
    <w:rsid w:val="00AD109B"/>
    <w:pPr>
      <w:outlineLvl w:val="5"/>
    </w:pPr>
    <w:rPr>
      <w:rFonts w:ascii="Arial" w:eastAsia="Arial" w:hAnsi="Arial" w:cs="Arial"/>
      <w:color w:val="1F4D7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D109B"/>
    <w:rPr>
      <w:i/>
      <w:iCs/>
      <w:color w:val="00269A" w:themeColor="text2"/>
    </w:rPr>
  </w:style>
  <w:style w:type="character" w:styleId="EndnoteReference">
    <w:name w:val="endnote reference"/>
    <w:uiPriority w:val="99"/>
    <w:semiHidden/>
    <w:unhideWhenUsed/>
    <w:rsid w:val="00AD109B"/>
    <w:rPr>
      <w:vertAlign w:val="superscript"/>
    </w:rPr>
  </w:style>
  <w:style w:type="paragraph" w:styleId="EndnoteText">
    <w:name w:val="endnote text"/>
    <w:link w:val="EndnoteTextChar"/>
    <w:uiPriority w:val="99"/>
    <w:semiHidden/>
    <w:unhideWhenUsed/>
    <w:rsid w:val="00AD109B"/>
    <w:rPr>
      <w:rFonts w:ascii="Arial" w:eastAsia="Arial" w:hAnsi="Arial" w:cs="Arial"/>
    </w:rPr>
  </w:style>
  <w:style w:type="character" w:customStyle="1" w:styleId="EndnoteTextChar">
    <w:name w:val="Endnote Text Char"/>
    <w:link w:val="EndnoteText"/>
    <w:uiPriority w:val="99"/>
    <w:semiHidden/>
    <w:unhideWhenUsed/>
    <w:rsid w:val="00AD109B"/>
    <w:rPr>
      <w:rFonts w:ascii="Arial" w:eastAsia="Arial" w:hAnsi="Arial" w:cs="Arial"/>
    </w:rPr>
  </w:style>
  <w:style w:type="paragraph" w:styleId="Footer">
    <w:name w:val="footer"/>
    <w:basedOn w:val="Normal"/>
    <w:link w:val="FooterChar"/>
    <w:uiPriority w:val="99"/>
    <w:unhideWhenUsed/>
    <w:rsid w:val="00AD109B"/>
    <w:pPr>
      <w:tabs>
        <w:tab w:val="center" w:pos="4680"/>
        <w:tab w:val="right" w:pos="9360"/>
      </w:tabs>
      <w:spacing w:before="0"/>
    </w:pPr>
  </w:style>
  <w:style w:type="character" w:customStyle="1" w:styleId="FooterChar">
    <w:name w:val="Footer Char"/>
    <w:basedOn w:val="DefaultParagraphFont"/>
    <w:link w:val="Footer"/>
    <w:uiPriority w:val="99"/>
    <w:rsid w:val="00AD109B"/>
    <w:rPr>
      <w:rFonts w:ascii="NeueHaasGroteskText Pro" w:eastAsia="Arial" w:hAnsi="NeueHaasGroteskText Pro" w:cs="Arial"/>
      <w:sz w:val="21"/>
      <w:szCs w:val="21"/>
    </w:rPr>
  </w:style>
  <w:style w:type="character" w:styleId="FootnoteReference">
    <w:name w:val="footnote reference"/>
    <w:uiPriority w:val="99"/>
    <w:semiHidden/>
    <w:unhideWhenUsed/>
    <w:rsid w:val="00AD109B"/>
    <w:rPr>
      <w:vertAlign w:val="superscript"/>
    </w:rPr>
  </w:style>
  <w:style w:type="paragraph" w:styleId="FootnoteText">
    <w:name w:val="footnote text"/>
    <w:link w:val="FootnoteTextChar"/>
    <w:uiPriority w:val="99"/>
    <w:semiHidden/>
    <w:unhideWhenUsed/>
    <w:rsid w:val="00AD109B"/>
    <w:rPr>
      <w:rFonts w:ascii="Arial" w:eastAsia="Arial" w:hAnsi="Arial" w:cs="Arial"/>
    </w:rPr>
  </w:style>
  <w:style w:type="character" w:customStyle="1" w:styleId="FootnoteTextChar">
    <w:name w:val="Footnote Text Char"/>
    <w:link w:val="FootnoteText"/>
    <w:uiPriority w:val="99"/>
    <w:semiHidden/>
    <w:unhideWhenUsed/>
    <w:rsid w:val="00AD109B"/>
    <w:rPr>
      <w:rFonts w:ascii="Arial" w:eastAsia="Arial" w:hAnsi="Arial" w:cs="Arial"/>
    </w:rPr>
  </w:style>
  <w:style w:type="paragraph" w:styleId="Header">
    <w:name w:val="header"/>
    <w:basedOn w:val="Normal"/>
    <w:link w:val="HeaderChar"/>
    <w:uiPriority w:val="99"/>
    <w:unhideWhenUsed/>
    <w:rsid w:val="00AD109B"/>
    <w:pPr>
      <w:tabs>
        <w:tab w:val="center" w:pos="4680"/>
        <w:tab w:val="right" w:pos="9360"/>
      </w:tabs>
      <w:spacing w:before="0"/>
    </w:pPr>
  </w:style>
  <w:style w:type="character" w:customStyle="1" w:styleId="HeaderChar">
    <w:name w:val="Header Char"/>
    <w:basedOn w:val="DefaultParagraphFont"/>
    <w:link w:val="Header"/>
    <w:uiPriority w:val="99"/>
    <w:rsid w:val="00AD109B"/>
    <w:rPr>
      <w:rFonts w:ascii="NeueHaasGroteskText Pro" w:eastAsia="Arial" w:hAnsi="NeueHaasGroteskText Pro" w:cs="Arial"/>
      <w:sz w:val="21"/>
      <w:szCs w:val="21"/>
    </w:rPr>
  </w:style>
  <w:style w:type="character" w:styleId="Hyperlink">
    <w:name w:val="Hyperlink"/>
    <w:uiPriority w:val="99"/>
    <w:unhideWhenUsed/>
    <w:rsid w:val="00AD109B"/>
    <w:rPr>
      <w:color w:val="0563C1"/>
      <w:u w:val="single"/>
    </w:rPr>
  </w:style>
  <w:style w:type="paragraph" w:styleId="ListParagraph">
    <w:name w:val="List Paragraph"/>
    <w:qFormat/>
    <w:rsid w:val="00AD109B"/>
    <w:rPr>
      <w:rFonts w:ascii="Arial" w:eastAsia="Arial" w:hAnsi="Arial" w:cs="Arial"/>
      <w:sz w:val="21"/>
      <w:szCs w:val="21"/>
    </w:rPr>
  </w:style>
  <w:style w:type="paragraph" w:customStyle="1" w:styleId="Strong1">
    <w:name w:val="Strong1"/>
    <w:qFormat/>
    <w:rsid w:val="00AD109B"/>
    <w:pPr>
      <w:spacing w:before="120"/>
    </w:pPr>
    <w:rPr>
      <w:rFonts w:ascii="NeueHaasGroteskText Pro" w:eastAsia="Arial" w:hAnsi="NeueHaasGroteskText Pro" w:cs="Arial"/>
      <w:b/>
      <w:bCs/>
      <w:color w:val="00269A" w:themeColor="text2"/>
      <w:sz w:val="21"/>
      <w:szCs w:val="21"/>
    </w:rPr>
  </w:style>
  <w:style w:type="paragraph" w:styleId="Title">
    <w:name w:val="Title"/>
    <w:link w:val="TitleChar"/>
    <w:uiPriority w:val="10"/>
    <w:qFormat/>
    <w:rsid w:val="00AD109B"/>
    <w:rPr>
      <w:rFonts w:ascii="Arial" w:eastAsia="Arial" w:hAnsi="Arial" w:cs="Arial"/>
      <w:sz w:val="56"/>
      <w:szCs w:val="56"/>
    </w:rPr>
  </w:style>
  <w:style w:type="character" w:customStyle="1" w:styleId="TitleChar">
    <w:name w:val="Title Char"/>
    <w:basedOn w:val="DefaultParagraphFont"/>
    <w:link w:val="Title"/>
    <w:uiPriority w:val="10"/>
    <w:rsid w:val="00AD109B"/>
    <w:rPr>
      <w:rFonts w:ascii="Arial" w:eastAsia="Arial" w:hAnsi="Arial" w:cs="Arial"/>
      <w:sz w:val="56"/>
      <w:szCs w:val="56"/>
    </w:rPr>
  </w:style>
  <w:style w:type="table" w:styleId="TableGrid">
    <w:name w:val="Table Grid"/>
    <w:basedOn w:val="TableNormal"/>
    <w:uiPriority w:val="39"/>
    <w:rsid w:val="00AD1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109B"/>
    <w:rPr>
      <w:i/>
      <w:iCs/>
      <w:color w:val="5C5C5C" w:themeColor="text1" w:themeTint="BF"/>
    </w:rPr>
  </w:style>
  <w:style w:type="paragraph" w:customStyle="1" w:styleId="Disclaimer">
    <w:name w:val="Disclaimer"/>
    <w:basedOn w:val="Normal"/>
    <w:qFormat/>
    <w:rsid w:val="00AD109B"/>
    <w:pPr>
      <w:pBdr>
        <w:top w:val="single" w:sz="4" w:space="1" w:color="00269A" w:themeColor="text2"/>
      </w:pBdr>
      <w:spacing w:before="360"/>
    </w:pPr>
    <w:rPr>
      <w:color w:val="929292" w:themeColor="text1" w:themeTint="8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 BDC Colors">
      <a:dk1>
        <a:srgbClr val="262626"/>
      </a:dk1>
      <a:lt1>
        <a:srgbClr val="FCF7F6"/>
      </a:lt1>
      <a:dk2>
        <a:srgbClr val="00269A"/>
      </a:dk2>
      <a:lt2>
        <a:srgbClr val="F6F3D9"/>
      </a:lt2>
      <a:accent1>
        <a:srgbClr val="6BC3E8"/>
      </a:accent1>
      <a:accent2>
        <a:srgbClr val="00BC70"/>
      </a:accent2>
      <a:accent3>
        <a:srgbClr val="E0DF00"/>
      </a:accent3>
      <a:accent4>
        <a:srgbClr val="FBB927"/>
      </a:accent4>
      <a:accent5>
        <a:srgbClr val="EF4F23"/>
      </a:accent5>
      <a:accent6>
        <a:srgbClr val="8347AD"/>
      </a:accent6>
      <a:hlink>
        <a:srgbClr val="00269A"/>
      </a:hlink>
      <a:folHlink>
        <a:srgbClr val="8347A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159f90-237e-4e04-b65d-cc28877a5005" xsi:nil="true"/>
    <lcf76f155ced4ddcb4097134ff3c332f xmlns="fb171067-de25-4651-9f3f-4921f9a5cd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EB8BEA33D0524FAB3003F5C2B3B640" ma:contentTypeVersion="10" ma:contentTypeDescription="Create a new document." ma:contentTypeScope="" ma:versionID="e9cc4f078f4e0ebb36781f6dad0bab27">
  <xsd:schema xmlns:xsd="http://www.w3.org/2001/XMLSchema" xmlns:xs="http://www.w3.org/2001/XMLSchema" xmlns:p="http://schemas.microsoft.com/office/2006/metadata/properties" xmlns:ns2="fb171067-de25-4651-9f3f-4921f9a5cd03" xmlns:ns3="62159f90-237e-4e04-b65d-cc28877a5005" targetNamespace="http://schemas.microsoft.com/office/2006/metadata/properties" ma:root="true" ma:fieldsID="d93ff61ad646138d3b6d53fb3f883dfe" ns2:_="" ns3:_="">
    <xsd:import namespace="fb171067-de25-4651-9f3f-4921f9a5cd03"/>
    <xsd:import namespace="62159f90-237e-4e04-b65d-cc28877a50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1067-de25-4651-9f3f-4921f9a5c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bf7b5f8-060a-4a29-ade1-cc5a2d57134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159f90-237e-4e04-b65d-cc28877a500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f65d477-3f36-40ef-b737-107e7636a8f1}" ma:internalName="TaxCatchAll" ma:showField="CatchAllData" ma:web="62159f90-237e-4e04-b65d-cc28877a50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CD7A3-EDE0-4395-81ED-CB4A19ED7755}">
  <ds:schemaRefs>
    <ds:schemaRef ds:uri="http://schemas.microsoft.com/sharepoint/v3/contenttype/forms"/>
  </ds:schemaRefs>
</ds:datastoreItem>
</file>

<file path=customXml/itemProps2.xml><?xml version="1.0" encoding="utf-8"?>
<ds:datastoreItem xmlns:ds="http://schemas.openxmlformats.org/officeDocument/2006/customXml" ds:itemID="{AFE943A6-A640-4A1B-BD14-B144CE099806}">
  <ds:schemaRefs>
    <ds:schemaRef ds:uri="http://schemas.microsoft.com/office/2006/metadata/properties"/>
    <ds:schemaRef ds:uri="http://schemas.microsoft.com/office/infopath/2007/PartnerControls"/>
    <ds:schemaRef ds:uri="62159f90-237e-4e04-b65d-cc28877a5005"/>
    <ds:schemaRef ds:uri="fb171067-de25-4651-9f3f-4921f9a5cd03"/>
  </ds:schemaRefs>
</ds:datastoreItem>
</file>

<file path=customXml/itemProps3.xml><?xml version="1.0" encoding="utf-8"?>
<ds:datastoreItem xmlns:ds="http://schemas.openxmlformats.org/officeDocument/2006/customXml" ds:itemID="{657A1CF8-E966-4399-8BA3-8AF4CB952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1067-de25-4651-9f3f-4921f9a5cd03"/>
    <ds:schemaRef ds:uri="62159f90-237e-4e04-b65d-cc28877a5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Lawrence, Tamarah (BDC)</cp:lastModifiedBy>
  <cp:revision>3</cp:revision>
  <cp:lastPrinted>2026-07-21T20:32:00Z</cp:lastPrinted>
  <dcterms:created xsi:type="dcterms:W3CDTF">2026-07-21T20:32:00Z</dcterms:created>
  <dcterms:modified xsi:type="dcterms:W3CDTF">2026-07-21T20:32:00Z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0x010100B0EB8BEA33D0524FAB3003F5C2B3B640</vt:lpwstr>
  </property>
  <property fmtid="{D5CDD505-2E9C-101B-9397-08002B2CF9AE}" pid="3" name="MediaServiceImageTags">
    <vt:lpwstr/>
  </property>
</Properties>
</file>